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7F33F3" w:rsidRPr="003C01AF" w:rsidRDefault="007F33F3" w:rsidP="007F33F3">
      <w:pPr>
        <w:jc w:val="center"/>
        <w:rPr>
          <w:rFonts w:ascii="Palatino Linotype" w:hAnsi="Palatino Linotype" w:cstheme="majorBidi"/>
          <w:b/>
          <w:bCs/>
          <w:u w:val="single"/>
        </w:rPr>
      </w:pPr>
      <w:r w:rsidRPr="003C01AF">
        <w:rPr>
          <w:rFonts w:ascii="Palatino Linotype" w:hAnsi="Palatino Linotype" w:cstheme="majorBidi"/>
          <w:b/>
          <w:bCs/>
          <w:u w:val="single"/>
        </w:rPr>
        <w:t>Before Ali Azeem Ikram, Executive Director/HOD (Adjudication-I)</w:t>
      </w:r>
    </w:p>
    <w:p w:rsidR="007F33F3" w:rsidRPr="008864AE" w:rsidRDefault="007F33F3" w:rsidP="007F33F3">
      <w:pPr>
        <w:jc w:val="both"/>
        <w:rPr>
          <w:rFonts w:ascii="Palatino Linotype" w:hAnsi="Palatino Linotype" w:cstheme="majorBidi"/>
          <w:b/>
          <w:bCs/>
          <w:u w:val="single"/>
        </w:rPr>
      </w:pPr>
    </w:p>
    <w:p w:rsidR="007F33F3" w:rsidRPr="008864AE" w:rsidRDefault="007F33F3" w:rsidP="007F33F3">
      <w:pPr>
        <w:tabs>
          <w:tab w:val="left" w:pos="1080"/>
        </w:tabs>
        <w:jc w:val="center"/>
        <w:rPr>
          <w:rFonts w:ascii="Palatino Linotype" w:hAnsi="Palatino Linotype"/>
          <w:b/>
          <w:u w:val="single"/>
        </w:rPr>
      </w:pPr>
      <w:r w:rsidRPr="008864AE">
        <w:rPr>
          <w:rFonts w:ascii="Palatino Linotype" w:hAnsi="Palatino Linotype" w:cstheme="majorBidi"/>
          <w:b/>
          <w:bCs/>
          <w:u w:val="single"/>
        </w:rPr>
        <w:t xml:space="preserve">In the matter of </w:t>
      </w:r>
      <w:r w:rsidR="00897D6C">
        <w:rPr>
          <w:rFonts w:ascii="Palatino Linotype" w:hAnsi="Palatino Linotype"/>
          <w:b/>
          <w:u w:val="single"/>
        </w:rPr>
        <w:t>Jubilee Spinning &amp; Weaving Mills</w:t>
      </w:r>
      <w:r w:rsidRPr="008864AE">
        <w:rPr>
          <w:rFonts w:ascii="Palatino Linotype" w:hAnsi="Palatino Linotype"/>
          <w:b/>
          <w:u w:val="single"/>
        </w:rPr>
        <w:t xml:space="preserve"> Limited</w:t>
      </w:r>
    </w:p>
    <w:p w:rsidR="007F33F3" w:rsidRPr="008864AE" w:rsidRDefault="007F33F3" w:rsidP="007F33F3">
      <w:pPr>
        <w:tabs>
          <w:tab w:val="left" w:pos="1080"/>
        </w:tabs>
        <w:jc w:val="center"/>
        <w:rPr>
          <w:rFonts w:ascii="Palatino Linotype" w:hAnsi="Palatino Linotype" w:cstheme="majorBidi"/>
          <w:b/>
          <w:bCs/>
          <w:sz w:val="22"/>
          <w:szCs w:val="22"/>
          <w:u w:val="single"/>
        </w:rPr>
      </w:pPr>
    </w:p>
    <w:p w:rsidR="007F33F3" w:rsidRPr="008864AE" w:rsidRDefault="007F33F3" w:rsidP="007F33F3">
      <w:pPr>
        <w:jc w:val="both"/>
        <w:rPr>
          <w:rFonts w:ascii="Palatino Linotype" w:hAnsi="Palatino Linotype" w:cstheme="majorBidi"/>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8864AE" w:rsidTr="00991511">
        <w:trPr>
          <w:trHeight w:hRule="exact" w:val="965"/>
        </w:trPr>
        <w:tc>
          <w:tcPr>
            <w:tcW w:w="4717" w:type="dxa"/>
            <w:tcBorders>
              <w:bottom w:val="single" w:sz="4" w:space="0" w:color="auto"/>
            </w:tcBorders>
            <w:vAlign w:val="center"/>
          </w:tcPr>
          <w:p w:rsidR="007F33F3" w:rsidRPr="008864AE" w:rsidRDefault="007F33F3" w:rsidP="00991511">
            <w:pPr>
              <w:tabs>
                <w:tab w:val="left" w:pos="9450"/>
              </w:tabs>
              <w:ind w:right="75"/>
              <w:jc w:val="both"/>
              <w:outlineLvl w:val="0"/>
              <w:rPr>
                <w:rFonts w:ascii="Palatino Linotype" w:hAnsi="Palatino Linotype" w:cstheme="majorBidi"/>
                <w:bCs/>
                <w:sz w:val="22"/>
                <w:szCs w:val="22"/>
              </w:rPr>
            </w:pPr>
            <w:r w:rsidRPr="008864AE">
              <w:rPr>
                <w:rFonts w:ascii="Palatino Linotype" w:hAnsi="Palatino Linotype" w:cstheme="majorBidi"/>
                <w:bCs/>
                <w:sz w:val="22"/>
                <w:szCs w:val="22"/>
              </w:rPr>
              <w:t>Date</w:t>
            </w:r>
            <w:r>
              <w:rPr>
                <w:rFonts w:ascii="Palatino Linotype" w:hAnsi="Palatino Linotype" w:cstheme="majorBidi"/>
                <w:bCs/>
                <w:sz w:val="22"/>
                <w:szCs w:val="22"/>
              </w:rPr>
              <w:t>s</w:t>
            </w:r>
            <w:r w:rsidRPr="008864AE">
              <w:rPr>
                <w:rFonts w:ascii="Palatino Linotype" w:hAnsi="Palatino Linotype" w:cstheme="majorBidi"/>
                <w:bCs/>
                <w:sz w:val="22"/>
                <w:szCs w:val="22"/>
              </w:rPr>
              <w:t xml:space="preserve"> of Hearing</w:t>
            </w:r>
          </w:p>
        </w:tc>
        <w:tc>
          <w:tcPr>
            <w:tcW w:w="4624" w:type="dxa"/>
            <w:tcBorders>
              <w:bottom w:val="single" w:sz="4" w:space="0" w:color="auto"/>
            </w:tcBorders>
            <w:vAlign w:val="center"/>
          </w:tcPr>
          <w:p w:rsidR="00897D6C" w:rsidRDefault="00897D6C" w:rsidP="00897D6C">
            <w:pPr>
              <w:pStyle w:val="NormalWeb"/>
              <w:jc w:val="both"/>
              <w:rPr>
                <w:rFonts w:ascii="Palatino Linotype" w:hAnsi="Palatino Linotype"/>
                <w:sz w:val="22"/>
                <w:szCs w:val="22"/>
              </w:rPr>
            </w:pPr>
          </w:p>
          <w:p w:rsidR="00897D6C" w:rsidRPr="00897D6C" w:rsidRDefault="00897D6C" w:rsidP="00897D6C">
            <w:pPr>
              <w:pStyle w:val="NormalWeb"/>
              <w:jc w:val="both"/>
              <w:rPr>
                <w:rFonts w:ascii="Palatino Linotype" w:hAnsi="Palatino Linotype"/>
                <w:sz w:val="22"/>
                <w:szCs w:val="22"/>
              </w:rPr>
            </w:pPr>
            <w:r w:rsidRPr="00897D6C">
              <w:rPr>
                <w:rFonts w:ascii="Palatino Linotype" w:hAnsi="Palatino Linotype"/>
                <w:sz w:val="22"/>
                <w:szCs w:val="22"/>
              </w:rPr>
              <w:t>September 22, 2020, October 13, 2020, November 16, 2020</w:t>
            </w:r>
          </w:p>
          <w:p w:rsidR="007F33F3" w:rsidRDefault="007F33F3" w:rsidP="00991511">
            <w:pPr>
              <w:pStyle w:val="NormalWeb"/>
              <w:jc w:val="both"/>
              <w:rPr>
                <w:rFonts w:ascii="Palatino Linotype" w:hAnsi="Palatino Linotype"/>
                <w:sz w:val="22"/>
                <w:szCs w:val="22"/>
              </w:rPr>
            </w:pPr>
          </w:p>
          <w:p w:rsidR="007F33F3" w:rsidRPr="008864AE" w:rsidRDefault="007F33F3" w:rsidP="00897D6C">
            <w:pPr>
              <w:pStyle w:val="NormalWeb"/>
              <w:jc w:val="both"/>
              <w:rPr>
                <w:rFonts w:ascii="Palatino Linotype" w:hAnsi="Palatino Linotype"/>
                <w:sz w:val="22"/>
                <w:szCs w:val="22"/>
              </w:rPr>
            </w:pPr>
          </w:p>
        </w:tc>
      </w:tr>
    </w:tbl>
    <w:p w:rsidR="007F33F3" w:rsidRPr="008864AE" w:rsidRDefault="007F33F3" w:rsidP="007F33F3">
      <w:pPr>
        <w:jc w:val="both"/>
        <w:rPr>
          <w:rFonts w:ascii="Palatino Linotype" w:hAnsi="Palatino Linotype" w:cstheme="majorBidi"/>
          <w:b/>
          <w:sz w:val="22"/>
          <w:szCs w:val="22"/>
        </w:rPr>
      </w:pPr>
    </w:p>
    <w:p w:rsidR="007F33F3" w:rsidRPr="008864AE" w:rsidRDefault="007F33F3" w:rsidP="007F33F3">
      <w:pPr>
        <w:jc w:val="center"/>
        <w:rPr>
          <w:rFonts w:ascii="Palatino Linotype" w:hAnsi="Palatino Linotype" w:cstheme="majorBidi"/>
          <w:b/>
          <w:sz w:val="22"/>
          <w:szCs w:val="22"/>
        </w:rPr>
      </w:pPr>
      <w:r w:rsidRPr="008864AE">
        <w:rPr>
          <w:rFonts w:ascii="Palatino Linotype" w:hAnsi="Palatino Linotype" w:cstheme="majorBidi"/>
          <w:b/>
          <w:sz w:val="22"/>
          <w:szCs w:val="22"/>
        </w:rPr>
        <w:t>Order-Redacted Version</w:t>
      </w:r>
    </w:p>
    <w:p w:rsidR="007F33F3" w:rsidRPr="008864AE" w:rsidRDefault="007F33F3" w:rsidP="007F33F3">
      <w:pPr>
        <w:jc w:val="both"/>
        <w:rPr>
          <w:rFonts w:ascii="Palatino Linotype" w:hAnsi="Palatino Linotype" w:cstheme="majorBidi"/>
          <w:sz w:val="22"/>
          <w:szCs w:val="22"/>
          <w:u w:val="single"/>
        </w:rPr>
      </w:pPr>
    </w:p>
    <w:p w:rsidR="007F33F3" w:rsidRPr="008864AE" w:rsidRDefault="007F33F3" w:rsidP="007F33F3">
      <w:pPr>
        <w:tabs>
          <w:tab w:val="left" w:pos="1080"/>
        </w:tabs>
        <w:jc w:val="both"/>
        <w:rPr>
          <w:rFonts w:ascii="Palatino Linotype" w:hAnsi="Palatino Linotype"/>
          <w:sz w:val="22"/>
          <w:szCs w:val="22"/>
        </w:rPr>
      </w:pPr>
      <w:r w:rsidRPr="008864AE">
        <w:rPr>
          <w:rFonts w:ascii="Palatino Linotype" w:hAnsi="Palatino Linotype" w:cstheme="majorBidi"/>
          <w:sz w:val="22"/>
          <w:szCs w:val="22"/>
        </w:rPr>
        <w:t xml:space="preserve">Order dated </w:t>
      </w:r>
      <w:r w:rsidR="00897D6C">
        <w:rPr>
          <w:rFonts w:ascii="Palatino Linotype" w:hAnsi="Palatino Linotype" w:cstheme="majorBidi"/>
          <w:sz w:val="22"/>
          <w:szCs w:val="22"/>
        </w:rPr>
        <w:t>February 12</w:t>
      </w:r>
      <w:r w:rsidRPr="008864AE">
        <w:rPr>
          <w:rFonts w:ascii="Palatino Linotype" w:hAnsi="Palatino Linotype" w:cstheme="majorBidi"/>
          <w:sz w:val="22"/>
          <w:szCs w:val="22"/>
        </w:rPr>
        <w:t>, 202</w:t>
      </w:r>
      <w:r>
        <w:rPr>
          <w:rFonts w:ascii="Palatino Linotype" w:hAnsi="Palatino Linotype" w:cstheme="majorBidi"/>
          <w:sz w:val="22"/>
          <w:szCs w:val="22"/>
        </w:rPr>
        <w:t>1</w:t>
      </w:r>
      <w:r w:rsidRPr="008864AE">
        <w:rPr>
          <w:rFonts w:ascii="Palatino Linotype" w:hAnsi="Palatino Linotype" w:cstheme="majorBidi"/>
          <w:sz w:val="22"/>
          <w:szCs w:val="22"/>
        </w:rPr>
        <w:t xml:space="preserve"> was passed by Executive Director/Head of Department (Adjudication-I) in the matter of </w:t>
      </w:r>
      <w:r w:rsidR="00897D6C">
        <w:rPr>
          <w:rFonts w:ascii="Palatino Linotype" w:hAnsi="Palatino Linotype"/>
          <w:sz w:val="22"/>
          <w:szCs w:val="22"/>
        </w:rPr>
        <w:t>Jubilee Spinning &amp; Weaving Mills</w:t>
      </w:r>
      <w:r w:rsidRPr="008864AE">
        <w:rPr>
          <w:rFonts w:ascii="Palatino Linotype" w:hAnsi="Palatino Linotype"/>
          <w:sz w:val="22"/>
          <w:szCs w:val="22"/>
        </w:rPr>
        <w:t xml:space="preserve"> Limited. </w:t>
      </w:r>
      <w:r w:rsidRPr="008864AE">
        <w:rPr>
          <w:rFonts w:ascii="Palatino Linotype" w:hAnsi="Palatino Linotype" w:cstheme="majorBidi"/>
          <w:sz w:val="22"/>
          <w:szCs w:val="22"/>
        </w:rPr>
        <w:t>Relevant details are</w:t>
      </w:r>
      <w:r>
        <w:rPr>
          <w:rFonts w:ascii="Palatino Linotype" w:hAnsi="Palatino Linotype" w:cstheme="majorBidi"/>
          <w:sz w:val="22"/>
          <w:szCs w:val="22"/>
        </w:rPr>
        <w:t xml:space="preserve"> </w:t>
      </w:r>
      <w:r w:rsidRPr="008864AE">
        <w:rPr>
          <w:rFonts w:ascii="Palatino Linotype" w:hAnsi="Palatino Linotype" w:cstheme="majorBidi"/>
          <w:sz w:val="22"/>
          <w:szCs w:val="22"/>
        </w:rPr>
        <w:t>given as hereunder:</w:t>
      </w:r>
    </w:p>
    <w:p w:rsidR="007F33F3" w:rsidRPr="008864AE" w:rsidRDefault="007F33F3" w:rsidP="007F33F3">
      <w:pPr>
        <w:ind w:firstLine="720"/>
        <w:jc w:val="both"/>
        <w:rPr>
          <w:rFonts w:ascii="Palatino Linotype" w:hAnsi="Palatino Linotype" w:cstheme="majorBidi"/>
          <w:sz w:val="22"/>
          <w:szCs w:val="22"/>
        </w:rPr>
      </w:pPr>
    </w:p>
    <w:tbl>
      <w:tblPr>
        <w:tblStyle w:val="TableGrid"/>
        <w:tblW w:w="9265" w:type="dxa"/>
        <w:tblLook w:val="04A0" w:firstRow="1" w:lastRow="0" w:firstColumn="1" w:lastColumn="0" w:noHBand="0" w:noVBand="1"/>
      </w:tblPr>
      <w:tblGrid>
        <w:gridCol w:w="2605"/>
        <w:gridCol w:w="6660"/>
      </w:tblGrid>
      <w:tr w:rsidR="007F33F3" w:rsidRPr="008864AE" w:rsidTr="00991511">
        <w:tc>
          <w:tcPr>
            <w:tcW w:w="2605" w:type="dxa"/>
          </w:tcPr>
          <w:p w:rsidR="007F33F3" w:rsidRPr="008864AE" w:rsidRDefault="007F33F3" w:rsidP="00991511">
            <w:pPr>
              <w:jc w:val="center"/>
              <w:rPr>
                <w:rFonts w:ascii="Palatino Linotype" w:hAnsi="Palatino Linotype" w:cstheme="majorBidi"/>
                <w:b/>
                <w:sz w:val="22"/>
                <w:szCs w:val="22"/>
              </w:rPr>
            </w:pPr>
            <w:r w:rsidRPr="008864AE">
              <w:rPr>
                <w:rFonts w:ascii="Palatino Linotype" w:hAnsi="Palatino Linotype" w:cstheme="majorBidi"/>
                <w:b/>
                <w:sz w:val="22"/>
                <w:szCs w:val="22"/>
              </w:rPr>
              <w:t>Nature</w:t>
            </w:r>
          </w:p>
        </w:tc>
        <w:tc>
          <w:tcPr>
            <w:tcW w:w="6660" w:type="dxa"/>
          </w:tcPr>
          <w:p w:rsidR="007F33F3" w:rsidRPr="008864AE" w:rsidRDefault="007F33F3" w:rsidP="00991511">
            <w:pPr>
              <w:jc w:val="center"/>
              <w:rPr>
                <w:rFonts w:ascii="Palatino Linotype" w:hAnsi="Palatino Linotype" w:cstheme="majorBidi"/>
                <w:b/>
                <w:sz w:val="22"/>
                <w:szCs w:val="22"/>
              </w:rPr>
            </w:pPr>
            <w:r w:rsidRPr="008864AE">
              <w:rPr>
                <w:rFonts w:ascii="Palatino Linotype" w:hAnsi="Palatino Linotype" w:cstheme="majorBidi"/>
                <w:b/>
                <w:sz w:val="22"/>
                <w:szCs w:val="22"/>
              </w:rPr>
              <w:t>Details</w:t>
            </w:r>
          </w:p>
        </w:tc>
      </w:tr>
      <w:tr w:rsidR="007F33F3" w:rsidRPr="008864AE" w:rsidTr="00991511">
        <w:tc>
          <w:tcPr>
            <w:tcW w:w="2605" w:type="dxa"/>
          </w:tcPr>
          <w:p w:rsidR="007F33F3" w:rsidRPr="008864AE" w:rsidRDefault="007F33F3" w:rsidP="007F33F3">
            <w:pPr>
              <w:pStyle w:val="NoSpacing"/>
              <w:numPr>
                <w:ilvl w:val="0"/>
                <w:numId w:val="1"/>
              </w:numPr>
              <w:ind w:left="334" w:hanging="334"/>
              <w:rPr>
                <w:rFonts w:ascii="Palatino Linotype" w:hAnsi="Palatino Linotype" w:cs="Times New Roman"/>
                <w:sz w:val="22"/>
                <w:szCs w:val="22"/>
              </w:rPr>
            </w:pPr>
            <w:r w:rsidRPr="008864AE">
              <w:rPr>
                <w:rFonts w:ascii="Palatino Linotype" w:hAnsi="Palatino Linotype"/>
                <w:sz w:val="22"/>
                <w:szCs w:val="22"/>
              </w:rPr>
              <w:t>Date of Action</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jc w:val="both"/>
              <w:rPr>
                <w:rFonts w:ascii="Palatino Linotype" w:hAnsi="Palatino Linotype" w:cstheme="majorBidi"/>
                <w:sz w:val="22"/>
                <w:szCs w:val="22"/>
              </w:rPr>
            </w:pPr>
            <w:r w:rsidRPr="008864AE">
              <w:rPr>
                <w:rFonts w:ascii="Palatino Linotype" w:hAnsi="Palatino Linotype" w:cstheme="majorBidi"/>
                <w:sz w:val="22"/>
                <w:szCs w:val="22"/>
              </w:rPr>
              <w:t xml:space="preserve">Show cause notice dated </w:t>
            </w:r>
            <w:r w:rsidR="00897D6C">
              <w:rPr>
                <w:rFonts w:ascii="Palatino Linotype" w:hAnsi="Palatino Linotype" w:cstheme="majorBidi"/>
                <w:sz w:val="22"/>
                <w:szCs w:val="22"/>
              </w:rPr>
              <w:t>October 13</w:t>
            </w:r>
            <w:r w:rsidRPr="008864AE">
              <w:rPr>
                <w:rFonts w:ascii="Palatino Linotype" w:hAnsi="Palatino Linotype" w:cstheme="majorBidi"/>
                <w:sz w:val="22"/>
                <w:szCs w:val="22"/>
              </w:rPr>
              <w:t>, 20</w:t>
            </w:r>
            <w:r w:rsidR="00897D6C">
              <w:rPr>
                <w:rFonts w:ascii="Palatino Linotype" w:hAnsi="Palatino Linotype" w:cstheme="majorBidi"/>
                <w:sz w:val="22"/>
                <w:szCs w:val="22"/>
              </w:rPr>
              <w:t>20</w:t>
            </w:r>
          </w:p>
        </w:tc>
      </w:tr>
      <w:tr w:rsidR="007F33F3" w:rsidRPr="008864AE" w:rsidTr="00991511">
        <w:tc>
          <w:tcPr>
            <w:tcW w:w="2605" w:type="dxa"/>
          </w:tcPr>
          <w:p w:rsidR="007F33F3" w:rsidRPr="008864AE" w:rsidRDefault="007F33F3" w:rsidP="007F33F3">
            <w:pPr>
              <w:pStyle w:val="NoSpacing"/>
              <w:numPr>
                <w:ilvl w:val="0"/>
                <w:numId w:val="1"/>
              </w:numPr>
              <w:ind w:left="334" w:hanging="334"/>
              <w:rPr>
                <w:rFonts w:ascii="Palatino Linotype" w:hAnsi="Palatino Linotype"/>
                <w:sz w:val="22"/>
                <w:szCs w:val="22"/>
              </w:rPr>
            </w:pPr>
            <w:r w:rsidRPr="008864AE">
              <w:rPr>
                <w:rFonts w:ascii="Palatino Linotype" w:hAnsi="Palatino Linotype"/>
                <w:sz w:val="22"/>
                <w:szCs w:val="22"/>
              </w:rPr>
              <w:t>Name of Company</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897D6C" w:rsidP="00991511">
            <w:pPr>
              <w:jc w:val="both"/>
              <w:rPr>
                <w:rFonts w:ascii="Palatino Linotype" w:hAnsi="Palatino Linotype" w:cstheme="majorBidi"/>
                <w:sz w:val="22"/>
                <w:szCs w:val="22"/>
              </w:rPr>
            </w:pPr>
            <w:r>
              <w:rPr>
                <w:rFonts w:ascii="Palatino Linotype" w:hAnsi="Palatino Linotype"/>
                <w:sz w:val="22"/>
                <w:szCs w:val="22"/>
              </w:rPr>
              <w:t>Jubilee Spinning &amp; Weaving Mills</w:t>
            </w:r>
            <w:r w:rsidR="007F33F3" w:rsidRPr="008864AE">
              <w:rPr>
                <w:rFonts w:ascii="Palatino Linotype" w:hAnsi="Palatino Linotype"/>
                <w:sz w:val="22"/>
                <w:szCs w:val="22"/>
              </w:rPr>
              <w:t xml:space="preserve"> Limited</w:t>
            </w:r>
          </w:p>
        </w:tc>
      </w:tr>
      <w:tr w:rsidR="007F33F3" w:rsidRPr="008864AE" w:rsidTr="00991511">
        <w:tc>
          <w:tcPr>
            <w:tcW w:w="2605" w:type="dxa"/>
          </w:tcPr>
          <w:p w:rsidR="007F33F3" w:rsidRPr="008864AE" w:rsidRDefault="007F33F3" w:rsidP="007F33F3">
            <w:pPr>
              <w:pStyle w:val="NoSpacing"/>
              <w:numPr>
                <w:ilvl w:val="0"/>
                <w:numId w:val="1"/>
              </w:numPr>
              <w:ind w:left="334"/>
              <w:rPr>
                <w:rFonts w:ascii="Palatino Linotype" w:hAnsi="Palatino Linotype"/>
                <w:sz w:val="22"/>
                <w:szCs w:val="22"/>
              </w:rPr>
            </w:pPr>
            <w:r w:rsidRPr="008864AE">
              <w:rPr>
                <w:rFonts w:ascii="Palatino Linotype" w:hAnsi="Palatino Linotype"/>
                <w:sz w:val="22"/>
                <w:szCs w:val="22"/>
              </w:rPr>
              <w:t>Name of Individual*</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jc w:val="both"/>
              <w:rPr>
                <w:rFonts w:ascii="Palatino Linotype" w:hAnsi="Palatino Linotype" w:cstheme="majorBidi"/>
                <w:sz w:val="22"/>
                <w:szCs w:val="22"/>
              </w:rPr>
            </w:pPr>
            <w:r w:rsidRPr="008864AE">
              <w:rPr>
                <w:rFonts w:ascii="Palatino Linotype" w:hAnsi="Palatino Linotype" w:cstheme="majorBidi"/>
                <w:sz w:val="22"/>
                <w:szCs w:val="22"/>
              </w:rPr>
              <w:t xml:space="preserve">The proceedings were initiated against the directors of the Company i.e. </w:t>
            </w:r>
            <w:r w:rsidR="00897D6C">
              <w:rPr>
                <w:rFonts w:ascii="Palatino Linotype" w:hAnsi="Palatino Linotype"/>
                <w:sz w:val="22"/>
                <w:szCs w:val="22"/>
              </w:rPr>
              <w:t>Jubilee Spinning</w:t>
            </w:r>
            <w:r w:rsidR="00EE5B80">
              <w:rPr>
                <w:rFonts w:ascii="Palatino Linotype" w:hAnsi="Palatino Linotype"/>
                <w:sz w:val="22"/>
                <w:szCs w:val="22"/>
              </w:rPr>
              <w:t xml:space="preserve"> &amp; Weaving</w:t>
            </w:r>
            <w:r w:rsidR="00897D6C">
              <w:rPr>
                <w:rFonts w:ascii="Palatino Linotype" w:hAnsi="Palatino Linotype"/>
                <w:sz w:val="22"/>
                <w:szCs w:val="22"/>
              </w:rPr>
              <w:t xml:space="preserve"> Mills</w:t>
            </w:r>
            <w:r w:rsidRPr="008864AE">
              <w:rPr>
                <w:rFonts w:ascii="Palatino Linotype" w:hAnsi="Palatino Linotype"/>
                <w:sz w:val="22"/>
                <w:szCs w:val="22"/>
              </w:rPr>
              <w:t xml:space="preserve"> Limited</w:t>
            </w:r>
          </w:p>
        </w:tc>
      </w:tr>
      <w:tr w:rsidR="007F33F3" w:rsidRPr="008864AE" w:rsidTr="00991511">
        <w:tc>
          <w:tcPr>
            <w:tcW w:w="2605" w:type="dxa"/>
          </w:tcPr>
          <w:p w:rsidR="007F33F3" w:rsidRPr="008864AE" w:rsidRDefault="007F33F3" w:rsidP="007F33F3">
            <w:pPr>
              <w:pStyle w:val="NoSpacing"/>
              <w:numPr>
                <w:ilvl w:val="0"/>
                <w:numId w:val="1"/>
              </w:numPr>
              <w:ind w:left="334" w:hanging="334"/>
              <w:rPr>
                <w:rFonts w:ascii="Palatino Linotype" w:hAnsi="Palatino Linotype"/>
                <w:sz w:val="22"/>
                <w:szCs w:val="22"/>
              </w:rPr>
            </w:pPr>
            <w:r w:rsidRPr="008864AE">
              <w:rPr>
                <w:rFonts w:ascii="Palatino Linotype" w:hAnsi="Palatino Linotype"/>
                <w:sz w:val="22"/>
                <w:szCs w:val="22"/>
              </w:rPr>
              <w:t>Nature of Offence</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jc w:val="both"/>
              <w:rPr>
                <w:rFonts w:ascii="Palatino Linotype" w:hAnsi="Palatino Linotype" w:cstheme="majorBidi"/>
                <w:sz w:val="22"/>
                <w:szCs w:val="22"/>
              </w:rPr>
            </w:pPr>
            <w:r w:rsidRPr="008864AE">
              <w:rPr>
                <w:rFonts w:ascii="Palatino Linotype" w:hAnsi="Palatino Linotype" w:cstheme="majorBidi"/>
                <w:sz w:val="22"/>
                <w:szCs w:val="22"/>
              </w:rPr>
              <w:t xml:space="preserve">Violations of </w:t>
            </w:r>
            <w:r>
              <w:rPr>
                <w:rFonts w:ascii="Palatino Linotype" w:hAnsi="Palatino Linotype" w:cstheme="majorBidi"/>
                <w:sz w:val="22"/>
                <w:szCs w:val="22"/>
              </w:rPr>
              <w:t xml:space="preserve">section </w:t>
            </w:r>
            <w:r w:rsidR="00897D6C">
              <w:rPr>
                <w:rFonts w:ascii="Palatino Linotype" w:hAnsi="Palatino Linotype" w:cstheme="majorBidi"/>
                <w:sz w:val="22"/>
                <w:szCs w:val="22"/>
              </w:rPr>
              <w:t xml:space="preserve">208 </w:t>
            </w:r>
            <w:r w:rsidR="00A32068">
              <w:rPr>
                <w:rFonts w:ascii="Palatino Linotype" w:hAnsi="Palatino Linotype" w:cstheme="majorBidi"/>
                <w:sz w:val="22"/>
                <w:szCs w:val="22"/>
              </w:rPr>
              <w:t>and</w:t>
            </w:r>
            <w:r w:rsidR="00897D6C">
              <w:rPr>
                <w:rFonts w:ascii="Palatino Linotype" w:hAnsi="Palatino Linotype" w:cstheme="majorBidi"/>
                <w:sz w:val="22"/>
                <w:szCs w:val="22"/>
              </w:rPr>
              <w:t xml:space="preserve"> section 476 of the Companies Ordinance, 1984.</w:t>
            </w:r>
          </w:p>
        </w:tc>
      </w:tr>
      <w:tr w:rsidR="007F33F3" w:rsidRPr="008864AE" w:rsidTr="00991511">
        <w:tc>
          <w:tcPr>
            <w:tcW w:w="2605" w:type="dxa"/>
          </w:tcPr>
          <w:p w:rsidR="007F33F3" w:rsidRPr="008864AE" w:rsidRDefault="007F33F3" w:rsidP="007F33F3">
            <w:pPr>
              <w:pStyle w:val="NoSpacing"/>
              <w:numPr>
                <w:ilvl w:val="0"/>
                <w:numId w:val="1"/>
              </w:numPr>
              <w:ind w:left="334"/>
              <w:rPr>
                <w:rFonts w:ascii="Palatino Linotype" w:hAnsi="Palatino Linotype"/>
                <w:sz w:val="22"/>
                <w:szCs w:val="22"/>
              </w:rPr>
            </w:pPr>
            <w:r w:rsidRPr="008864AE">
              <w:rPr>
                <w:rFonts w:ascii="Palatino Linotype" w:hAnsi="Palatino Linotype"/>
                <w:sz w:val="22"/>
                <w:szCs w:val="22"/>
              </w:rPr>
              <w:t>Action Taken</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pStyle w:val="ListParagraph"/>
              <w:ind w:left="0"/>
              <w:contextualSpacing w:val="0"/>
              <w:jc w:val="both"/>
              <w:rPr>
                <w:rFonts w:ascii="Palatino Linotype" w:hAnsi="Palatino Linotype" w:cstheme="majorBidi"/>
                <w:sz w:val="22"/>
                <w:szCs w:val="22"/>
              </w:rPr>
            </w:pPr>
            <w:r w:rsidRPr="008864AE">
              <w:rPr>
                <w:rFonts w:ascii="Palatino Linotype" w:hAnsi="Palatino Linotype" w:cstheme="majorBidi"/>
                <w:sz w:val="22"/>
                <w:szCs w:val="22"/>
              </w:rPr>
              <w:t>Key findings were reported in the following manner:</w:t>
            </w:r>
          </w:p>
          <w:p w:rsidR="007F33F3" w:rsidRPr="008864AE" w:rsidRDefault="007F33F3" w:rsidP="00991511">
            <w:pPr>
              <w:pStyle w:val="ListParagraph"/>
              <w:ind w:left="0"/>
              <w:contextualSpacing w:val="0"/>
              <w:jc w:val="both"/>
              <w:rPr>
                <w:rFonts w:ascii="Palatino Linotype" w:hAnsi="Palatino Linotype" w:cstheme="majorBidi"/>
                <w:sz w:val="22"/>
                <w:szCs w:val="22"/>
              </w:rPr>
            </w:pPr>
          </w:p>
          <w:p w:rsidR="00A04BAF" w:rsidRPr="00A04BAF" w:rsidRDefault="007F33F3" w:rsidP="00A04BAF">
            <w:pPr>
              <w:jc w:val="both"/>
              <w:rPr>
                <w:rFonts w:ascii="Palatino Linotype" w:hAnsi="Palatino Linotype"/>
                <w:sz w:val="20"/>
                <w:szCs w:val="20"/>
              </w:rPr>
            </w:pPr>
            <w:r w:rsidRPr="00A04BAF">
              <w:rPr>
                <w:rFonts w:ascii="Palatino Linotype" w:hAnsi="Palatino Linotype" w:cstheme="majorBidi"/>
                <w:sz w:val="22"/>
                <w:szCs w:val="22"/>
              </w:rPr>
              <w:t>I have examined</w:t>
            </w:r>
            <w:r w:rsidRPr="00A04BAF">
              <w:rPr>
                <w:rFonts w:ascii="Palatino Linotype" w:hAnsi="Palatino Linotype"/>
                <w:sz w:val="22"/>
                <w:szCs w:val="22"/>
              </w:rPr>
              <w:t xml:space="preserve"> the facts of the case, that</w:t>
            </w:r>
            <w:r w:rsidR="00A04BAF" w:rsidRPr="00A04BAF">
              <w:rPr>
                <w:rFonts w:ascii="Palatino Linotype" w:hAnsi="Palatino Linotype"/>
                <w:sz w:val="22"/>
                <w:szCs w:val="22"/>
              </w:rPr>
              <w:t xml:space="preserve"> the Company had pledged its investments in equity securities having value of Rs. 40.963 million on behalf of associated company and such securities were realized by the concerned bank to settle the outstanding amount of the aforesaid associated company. The said investments of Rs. 40.963 million were made in </w:t>
            </w:r>
            <w:r w:rsidR="000A563F">
              <w:rPr>
                <w:rFonts w:ascii="Palatino Linotype" w:hAnsi="Palatino Linotype"/>
                <w:sz w:val="22"/>
                <w:szCs w:val="22"/>
              </w:rPr>
              <w:t>associated company</w:t>
            </w:r>
            <w:r w:rsidR="00A04BAF" w:rsidRPr="00A04BAF">
              <w:rPr>
                <w:rFonts w:ascii="Palatino Linotype" w:hAnsi="Palatino Linotype"/>
                <w:sz w:val="22"/>
                <w:szCs w:val="22"/>
              </w:rPr>
              <w:t xml:space="preserve"> without the authority of members obtained through special resolution passed in their meeting. The Respondents, hence, are liable for the said default and did not furnish any document mitigating the said default and corrective measures taken to safeguard the interest of the shareholders.</w:t>
            </w:r>
            <w:r w:rsidR="00A04BAF" w:rsidRPr="00A04BAF">
              <w:rPr>
                <w:rFonts w:ascii="Palatino Linotype" w:hAnsi="Palatino Linotype"/>
                <w:sz w:val="20"/>
                <w:szCs w:val="20"/>
              </w:rPr>
              <w:t xml:space="preserve"> </w:t>
            </w:r>
          </w:p>
          <w:p w:rsidR="007F33F3" w:rsidRPr="008864AE" w:rsidRDefault="007F33F3" w:rsidP="00991511">
            <w:pPr>
              <w:pStyle w:val="ListParagraph"/>
              <w:tabs>
                <w:tab w:val="left" w:pos="0"/>
              </w:tabs>
              <w:spacing w:line="276" w:lineRule="auto"/>
              <w:ind w:left="0"/>
              <w:contextualSpacing w:val="0"/>
              <w:jc w:val="both"/>
              <w:rPr>
                <w:rFonts w:ascii="Palatino Linotype" w:hAnsi="Palatino Linotype"/>
                <w:sz w:val="22"/>
                <w:szCs w:val="22"/>
              </w:rPr>
            </w:pPr>
          </w:p>
          <w:p w:rsidR="00A04BAF" w:rsidRPr="00A04BAF" w:rsidRDefault="007F33F3" w:rsidP="00A04BAF">
            <w:pPr>
              <w:jc w:val="both"/>
              <w:rPr>
                <w:rFonts w:ascii="Palatino Linotype" w:hAnsi="Palatino Linotype"/>
                <w:sz w:val="22"/>
                <w:szCs w:val="22"/>
              </w:rPr>
            </w:pPr>
            <w:r w:rsidRPr="00A04BAF">
              <w:rPr>
                <w:rFonts w:ascii="Palatino Linotype" w:hAnsi="Palatino Linotype"/>
                <w:sz w:val="22"/>
                <w:szCs w:val="22"/>
              </w:rPr>
              <w:t>2.</w:t>
            </w:r>
            <w:r w:rsidRPr="00A04BAF">
              <w:rPr>
                <w:rFonts w:ascii="Palatino Linotype" w:hAnsi="Palatino Linotype"/>
                <w:sz w:val="22"/>
                <w:szCs w:val="22"/>
              </w:rPr>
              <w:tab/>
              <w:t>In the aforementioned matter, as per available record</w:t>
            </w:r>
            <w:r w:rsidR="00A04BAF" w:rsidRPr="00A04BAF">
              <w:rPr>
                <w:rFonts w:ascii="Palatino Linotype" w:hAnsi="Palatino Linotype"/>
                <w:sz w:val="22"/>
                <w:szCs w:val="22"/>
              </w:rPr>
              <w:t xml:space="preserve"> in terms of section 208 of the Ordinance prior sanction of members is required for making investments in associated company or for change in nature of such investments. The Respondents, however, did not comply the given requirements of section 208 of the </w:t>
            </w:r>
            <w:r w:rsidR="00A04BAF" w:rsidRPr="00A04BAF">
              <w:rPr>
                <w:rFonts w:ascii="Palatino Linotype" w:hAnsi="Palatino Linotype"/>
                <w:sz w:val="22"/>
                <w:szCs w:val="22"/>
              </w:rPr>
              <w:lastRenderedPageBreak/>
              <w:t xml:space="preserve">Ordinance as securities pledged on behalf of the associated company were realized by the banking company to settle the outstanding amount borrowed by the associated company. The Respondents are not in denial that the provisions of section 208 of the Ordinance were violated, and their silence in this regard does not exonerate them for action warranted in terms of section 208 of the Ordinance. </w:t>
            </w:r>
          </w:p>
          <w:p w:rsidR="007F33F3" w:rsidRDefault="007F33F3" w:rsidP="00C3578B">
            <w:pPr>
              <w:widowControl w:val="0"/>
              <w:autoSpaceDE w:val="0"/>
              <w:autoSpaceDN w:val="0"/>
              <w:adjustRightInd w:val="0"/>
              <w:jc w:val="both"/>
              <w:rPr>
                <w:rFonts w:ascii="Palatino Linotype" w:hAnsi="Palatino Linotype"/>
                <w:sz w:val="22"/>
                <w:szCs w:val="22"/>
              </w:rPr>
            </w:pPr>
            <w:r w:rsidRPr="00A40547">
              <w:rPr>
                <w:rFonts w:ascii="Palatino Linotype" w:hAnsi="Palatino Linotype"/>
                <w:sz w:val="22"/>
                <w:szCs w:val="22"/>
              </w:rPr>
              <w:t xml:space="preserve"> </w:t>
            </w:r>
          </w:p>
          <w:p w:rsidR="000A563F" w:rsidRDefault="000A563F" w:rsidP="00C3578B">
            <w:pPr>
              <w:widowControl w:val="0"/>
              <w:autoSpaceDE w:val="0"/>
              <w:autoSpaceDN w:val="0"/>
              <w:adjustRightInd w:val="0"/>
              <w:jc w:val="both"/>
              <w:rPr>
                <w:rFonts w:ascii="Palatino Linotype" w:hAnsi="Palatino Linotype"/>
                <w:color w:val="000000"/>
                <w:sz w:val="20"/>
                <w:szCs w:val="20"/>
              </w:rPr>
            </w:pPr>
            <w:r>
              <w:rPr>
                <w:rFonts w:ascii="Palatino Linotype" w:hAnsi="Palatino Linotype"/>
                <w:color w:val="000000"/>
                <w:sz w:val="20"/>
                <w:szCs w:val="20"/>
              </w:rPr>
              <w:t xml:space="preserve">Keeping in view, the Respondents have violated the requirements of section 208 of the Ordinance. </w:t>
            </w:r>
            <w:r w:rsidRPr="0018712B">
              <w:rPr>
                <w:rFonts w:ascii="Palatino Linotype" w:hAnsi="Palatino Linotype"/>
                <w:color w:val="000000"/>
                <w:sz w:val="20"/>
                <w:szCs w:val="20"/>
              </w:rPr>
              <w:t xml:space="preserve">I, therefore in terms of section 208 of the Ordinance, hereby impose aggregate penalty of </w:t>
            </w:r>
            <w:r>
              <w:rPr>
                <w:rFonts w:ascii="Palatino Linotype" w:hAnsi="Palatino Linotype"/>
                <w:b/>
                <w:color w:val="000000"/>
                <w:sz w:val="20"/>
                <w:szCs w:val="20"/>
              </w:rPr>
              <w:t>Rs. 350,000/- (Rupees three hundred and fifty thousand)</w:t>
            </w:r>
            <w:r w:rsidRPr="0018712B">
              <w:rPr>
                <w:rFonts w:ascii="Palatino Linotype" w:hAnsi="Palatino Linotype"/>
                <w:b/>
                <w:color w:val="000000"/>
                <w:sz w:val="20"/>
                <w:szCs w:val="20"/>
              </w:rPr>
              <w:t xml:space="preserve"> </w:t>
            </w:r>
            <w:r w:rsidRPr="0018712B">
              <w:rPr>
                <w:rFonts w:ascii="Palatino Linotype" w:hAnsi="Palatino Linotype"/>
                <w:color w:val="000000"/>
                <w:sz w:val="20"/>
                <w:szCs w:val="20"/>
              </w:rPr>
              <w:t>on the Respondents</w:t>
            </w:r>
            <w:r>
              <w:rPr>
                <w:rFonts w:ascii="Palatino Linotype" w:hAnsi="Palatino Linotype"/>
                <w:color w:val="000000"/>
                <w:sz w:val="20"/>
                <w:szCs w:val="20"/>
              </w:rPr>
              <w:t xml:space="preserve">. </w:t>
            </w:r>
          </w:p>
          <w:p w:rsidR="000A563F" w:rsidRPr="00C3578B" w:rsidRDefault="000A563F" w:rsidP="00C3578B">
            <w:pPr>
              <w:widowControl w:val="0"/>
              <w:autoSpaceDE w:val="0"/>
              <w:autoSpaceDN w:val="0"/>
              <w:adjustRightInd w:val="0"/>
              <w:jc w:val="both"/>
              <w:rPr>
                <w:rFonts w:ascii="Palatino Linotype" w:hAnsi="Palatino Linotype"/>
                <w:i/>
                <w:sz w:val="20"/>
                <w:szCs w:val="20"/>
              </w:rPr>
            </w:pPr>
          </w:p>
          <w:p w:rsidR="007F33F3" w:rsidRPr="00434DE6" w:rsidRDefault="007F33F3" w:rsidP="00991511">
            <w:pPr>
              <w:pStyle w:val="BodyText"/>
              <w:spacing w:after="0" w:line="276" w:lineRule="auto"/>
              <w:jc w:val="both"/>
              <w:rPr>
                <w:rFonts w:ascii="Palatino Linotype" w:hAnsi="Palatino Linotype" w:cs="Times New Roman"/>
                <w:sz w:val="22"/>
                <w:szCs w:val="22"/>
              </w:rPr>
            </w:pPr>
            <w:r w:rsidRPr="00434DE6">
              <w:rPr>
                <w:rFonts w:ascii="Palatino Linotype" w:hAnsi="Palatino Linotype"/>
                <w:sz w:val="22"/>
                <w:szCs w:val="22"/>
              </w:rPr>
              <w:t>Nothing in this Order may be deemed to prejudice the operation of any provision of the Act providing for imposition of penalties in re</w:t>
            </w:r>
            <w:r>
              <w:rPr>
                <w:rFonts w:ascii="Palatino Linotype" w:hAnsi="Palatino Linotype"/>
                <w:sz w:val="22"/>
                <w:szCs w:val="22"/>
              </w:rPr>
              <w:t xml:space="preserve">spect of any default, omission or </w:t>
            </w:r>
            <w:r w:rsidRPr="00434DE6">
              <w:rPr>
                <w:rFonts w:ascii="Palatino Linotype" w:hAnsi="Palatino Linotype"/>
                <w:sz w:val="22"/>
                <w:szCs w:val="22"/>
              </w:rPr>
              <w:t xml:space="preserve">violation of the Act. </w:t>
            </w:r>
          </w:p>
          <w:p w:rsidR="007F33F3" w:rsidRPr="008864AE" w:rsidRDefault="007F33F3" w:rsidP="00991511">
            <w:pPr>
              <w:pStyle w:val="Bodytext20"/>
              <w:shd w:val="clear" w:color="auto" w:fill="auto"/>
              <w:tabs>
                <w:tab w:val="left" w:pos="771"/>
              </w:tabs>
              <w:spacing w:before="0" w:after="0" w:line="259" w:lineRule="exact"/>
              <w:rPr>
                <w:rFonts w:ascii="Palatino Linotype" w:hAnsi="Palatino Linotype"/>
                <w:sz w:val="22"/>
                <w:szCs w:val="22"/>
              </w:rPr>
            </w:pPr>
          </w:p>
        </w:tc>
      </w:tr>
      <w:tr w:rsidR="007F33F3" w:rsidRPr="008864AE" w:rsidTr="00991511">
        <w:tc>
          <w:tcPr>
            <w:tcW w:w="2605" w:type="dxa"/>
          </w:tcPr>
          <w:p w:rsidR="007F33F3" w:rsidRPr="008864AE" w:rsidRDefault="007F33F3" w:rsidP="007F33F3">
            <w:pPr>
              <w:pStyle w:val="NoSpacing"/>
              <w:numPr>
                <w:ilvl w:val="0"/>
                <w:numId w:val="1"/>
              </w:numPr>
              <w:ind w:left="340"/>
              <w:rPr>
                <w:rFonts w:ascii="Palatino Linotype" w:hAnsi="Palatino Linotype"/>
                <w:sz w:val="22"/>
                <w:szCs w:val="22"/>
              </w:rPr>
            </w:pPr>
            <w:r w:rsidRPr="008864AE">
              <w:rPr>
                <w:rFonts w:ascii="Palatino Linotype" w:hAnsi="Palatino Linotype"/>
                <w:sz w:val="22"/>
                <w:szCs w:val="22"/>
              </w:rPr>
              <w:lastRenderedPageBreak/>
              <w:t>Penalty Imposed</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jc w:val="both"/>
              <w:rPr>
                <w:rFonts w:ascii="Palatino Linotype" w:hAnsi="Palatino Linotype" w:cstheme="majorBidi"/>
                <w:sz w:val="22"/>
                <w:szCs w:val="22"/>
              </w:rPr>
            </w:pPr>
            <w:r>
              <w:rPr>
                <w:rFonts w:ascii="Palatino Linotype" w:hAnsi="Palatino Linotype" w:cstheme="majorBidi"/>
                <w:sz w:val="22"/>
                <w:szCs w:val="22"/>
              </w:rPr>
              <w:t>P</w:t>
            </w:r>
            <w:r w:rsidRPr="008864AE">
              <w:rPr>
                <w:rFonts w:ascii="Palatino Linotype" w:hAnsi="Palatino Linotype" w:cstheme="majorBidi"/>
                <w:sz w:val="22"/>
                <w:szCs w:val="22"/>
              </w:rPr>
              <w:t>enalty</w:t>
            </w:r>
            <w:r w:rsidR="000A563F">
              <w:rPr>
                <w:rFonts w:ascii="Palatino Linotype" w:hAnsi="Palatino Linotype" w:cstheme="majorBidi"/>
                <w:sz w:val="22"/>
                <w:szCs w:val="22"/>
              </w:rPr>
              <w:t xml:space="preserve"> of Rs. 350,000/- (Rs. 50,000 per Respondent)</w:t>
            </w:r>
            <w:r>
              <w:rPr>
                <w:rFonts w:ascii="Palatino Linotype" w:hAnsi="Palatino Linotype" w:cstheme="majorBidi"/>
                <w:sz w:val="22"/>
                <w:szCs w:val="22"/>
              </w:rPr>
              <w:t xml:space="preserve"> was</w:t>
            </w:r>
            <w:r w:rsidRPr="008864AE">
              <w:rPr>
                <w:rFonts w:ascii="Palatino Linotype" w:hAnsi="Palatino Linotype" w:cstheme="majorBidi"/>
                <w:sz w:val="22"/>
                <w:szCs w:val="22"/>
              </w:rPr>
              <w:t xml:space="preserve"> imposed</w:t>
            </w:r>
            <w:r>
              <w:rPr>
                <w:rFonts w:ascii="Palatino Linotype" w:hAnsi="Palatino Linotype" w:cstheme="majorBidi"/>
                <w:sz w:val="22"/>
                <w:szCs w:val="22"/>
              </w:rPr>
              <w:t xml:space="preserve"> on all the respondents.</w:t>
            </w:r>
          </w:p>
        </w:tc>
      </w:tr>
      <w:tr w:rsidR="007F33F3" w:rsidRPr="008864AE" w:rsidTr="00991511">
        <w:tc>
          <w:tcPr>
            <w:tcW w:w="2605" w:type="dxa"/>
          </w:tcPr>
          <w:p w:rsidR="007F33F3" w:rsidRPr="008864AE" w:rsidRDefault="007F33F3" w:rsidP="007F33F3">
            <w:pPr>
              <w:pStyle w:val="ListParagraph"/>
              <w:numPr>
                <w:ilvl w:val="0"/>
                <w:numId w:val="1"/>
              </w:numPr>
              <w:ind w:left="334"/>
              <w:jc w:val="both"/>
              <w:rPr>
                <w:rFonts w:ascii="Palatino Linotype" w:hAnsi="Palatino Linotype" w:cstheme="majorBidi"/>
                <w:sz w:val="22"/>
                <w:szCs w:val="22"/>
              </w:rPr>
            </w:pPr>
            <w:r w:rsidRPr="008864AE">
              <w:rPr>
                <w:rFonts w:ascii="Palatino Linotype" w:hAnsi="Palatino Linotype"/>
                <w:sz w:val="22"/>
                <w:szCs w:val="22"/>
              </w:rPr>
              <w:t>Current Status of Order</w:t>
            </w:r>
          </w:p>
        </w:tc>
        <w:tc>
          <w:tcPr>
            <w:tcW w:w="6660" w:type="dxa"/>
          </w:tcPr>
          <w:p w:rsidR="007F33F3" w:rsidRPr="008864AE" w:rsidRDefault="007F33F3" w:rsidP="00991511">
            <w:pPr>
              <w:jc w:val="both"/>
              <w:rPr>
                <w:rFonts w:ascii="Palatino Linotype" w:hAnsi="Palatino Linotype" w:cstheme="majorBidi"/>
                <w:sz w:val="22"/>
                <w:szCs w:val="22"/>
              </w:rPr>
            </w:pPr>
            <w:r w:rsidRPr="008864AE">
              <w:rPr>
                <w:rFonts w:ascii="Palatino Linotype" w:hAnsi="Palatino Linotype" w:cstheme="majorBidi"/>
                <w:sz w:val="22"/>
                <w:szCs w:val="22"/>
              </w:rPr>
              <w:t>No Appeal has been filed by the respondents</w:t>
            </w:r>
            <w:r>
              <w:rPr>
                <w:rFonts w:ascii="Palatino Linotype" w:hAnsi="Palatino Linotype" w:cstheme="majorBidi"/>
                <w:sz w:val="22"/>
                <w:szCs w:val="22"/>
              </w:rPr>
              <w:t>.</w:t>
            </w:r>
          </w:p>
        </w:tc>
      </w:tr>
    </w:tbl>
    <w:p w:rsidR="007F33F3" w:rsidRPr="008864AE" w:rsidRDefault="007F33F3" w:rsidP="007F33F3">
      <w:pPr>
        <w:ind w:firstLine="720"/>
        <w:jc w:val="both"/>
        <w:rPr>
          <w:rFonts w:ascii="Palatino Linotype" w:hAnsi="Palatino Linotype" w:cstheme="majorBidi"/>
          <w:sz w:val="22"/>
          <w:szCs w:val="22"/>
        </w:rPr>
      </w:pPr>
    </w:p>
    <w:p w:rsidR="007F33F3" w:rsidRPr="008864AE" w:rsidRDefault="007F33F3" w:rsidP="007F33F3">
      <w:pPr>
        <w:ind w:firstLine="720"/>
        <w:jc w:val="both"/>
        <w:rPr>
          <w:rFonts w:ascii="Palatino Linotype" w:hAnsi="Palatino Linotype" w:cstheme="majorBidi"/>
          <w:sz w:val="22"/>
          <w:szCs w:val="22"/>
        </w:rPr>
      </w:pPr>
    </w:p>
    <w:p w:rsidR="007F33F3" w:rsidRPr="008864AE" w:rsidRDefault="007F33F3" w:rsidP="007F33F3">
      <w:pPr>
        <w:pStyle w:val="Default"/>
        <w:jc w:val="both"/>
        <w:rPr>
          <w:rFonts w:ascii="Palatino Linotype" w:hAnsi="Palatino Linotype" w:cstheme="majorBidi"/>
          <w:b/>
          <w:bCs/>
          <w:color w:val="auto"/>
          <w:sz w:val="22"/>
          <w:szCs w:val="22"/>
        </w:rPr>
      </w:pPr>
    </w:p>
    <w:p w:rsidR="00920772" w:rsidRDefault="007F33F3" w:rsidP="007F33F3">
      <w:r w:rsidRPr="008864AE">
        <w:rPr>
          <w:rFonts w:ascii="Palatino Linotype" w:hAnsi="Palatino Linotype" w:cstheme="majorBidi"/>
          <w:sz w:val="22"/>
          <w:szCs w:val="22"/>
        </w:rPr>
        <w:t xml:space="preserve">Redacted version issued on </w:t>
      </w:r>
      <w:r w:rsidR="00374551">
        <w:rPr>
          <w:rFonts w:ascii="Palatino Linotype" w:hAnsi="Palatino Linotype" w:cstheme="majorBidi"/>
          <w:sz w:val="22"/>
          <w:szCs w:val="22"/>
        </w:rPr>
        <w:t>June 08, 2021</w:t>
      </w:r>
      <w:bookmarkStart w:id="0" w:name="_GoBack"/>
      <w:bookmarkEnd w:id="0"/>
      <w:r>
        <w:rPr>
          <w:rFonts w:ascii="Palatino Linotype" w:hAnsi="Palatino Linotype" w:cstheme="majorBidi"/>
          <w:sz w:val="22"/>
          <w:szCs w:val="22"/>
        </w:rPr>
        <w:t xml:space="preserve"> </w:t>
      </w:r>
      <w:r w:rsidRPr="008864AE">
        <w:rPr>
          <w:rFonts w:ascii="Palatino Linotype" w:hAnsi="Palatino Linotype" w:cstheme="majorBidi"/>
          <w:sz w:val="22"/>
          <w:szCs w:val="22"/>
        </w:rPr>
        <w:t>for placement of website of the Commission.</w:t>
      </w:r>
    </w:p>
    <w:sectPr w:rsidR="00920772"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D54" w:rsidRDefault="003A7D54" w:rsidP="007F33F3">
      <w:r>
        <w:separator/>
      </w:r>
    </w:p>
  </w:endnote>
  <w:endnote w:type="continuationSeparator" w:id="0">
    <w:p w:rsidR="003A7D54" w:rsidRDefault="003A7D54"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051-9207091-4,</w:t>
    </w:r>
    <w:r w:rsidRPr="007F33F3">
      <w:rPr>
        <w:rFonts w:ascii="Times New Roman" w:eastAsia="SimSun" w:hAnsi="Times New Roman" w:cs="Times New Roman"/>
        <w:iCs/>
        <w:spacing w:val="10"/>
        <w:sz w:val="18"/>
        <w:szCs w:val="18"/>
        <w:lang w:val="fr-FR"/>
      </w:rPr>
      <w:t>Fax: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0A563F">
      <w:rPr>
        <w:rFonts w:ascii="Times New Roman" w:hAnsi="Times New Roman" w:cs="Times New Roman"/>
        <w:b/>
        <w:bCs/>
        <w:noProof/>
        <w:sz w:val="18"/>
        <w:szCs w:val="18"/>
      </w:rPr>
      <w:t>2</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Pr>
        <w:rFonts w:ascii="Times New Roman" w:hAnsi="Times New Roman" w:cs="Times New Roman"/>
        <w:b/>
        <w:bCs/>
        <w:sz w:val="18"/>
        <w:szCs w:val="18"/>
      </w:rPr>
      <w:t>2</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D54" w:rsidRDefault="003A7D54" w:rsidP="007F33F3">
      <w:r>
        <w:separator/>
      </w:r>
    </w:p>
  </w:footnote>
  <w:footnote w:type="continuationSeparator" w:id="0">
    <w:p w:rsidR="003A7D54" w:rsidRDefault="003A7D54"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65D8E"/>
    <w:multiLevelType w:val="hybridMultilevel"/>
    <w:tmpl w:val="0B9EECCE"/>
    <w:lvl w:ilvl="0" w:tplc="8382B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A563F"/>
    <w:rsid w:val="00215415"/>
    <w:rsid w:val="00360362"/>
    <w:rsid w:val="00374551"/>
    <w:rsid w:val="003A7D54"/>
    <w:rsid w:val="003C01AF"/>
    <w:rsid w:val="004A4F88"/>
    <w:rsid w:val="0066173F"/>
    <w:rsid w:val="007F33F3"/>
    <w:rsid w:val="00897D6C"/>
    <w:rsid w:val="00920772"/>
    <w:rsid w:val="009C1ECA"/>
    <w:rsid w:val="00A04BAF"/>
    <w:rsid w:val="00A32068"/>
    <w:rsid w:val="00AB167C"/>
    <w:rsid w:val="00AC55FF"/>
    <w:rsid w:val="00C3578B"/>
    <w:rsid w:val="00DF59C7"/>
    <w:rsid w:val="00E814B1"/>
    <w:rsid w:val="00EE07E5"/>
    <w:rsid w:val="00EE5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6F7128EA"/>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semiHidden/>
    <w:unhideWhenUsed/>
    <w:rsid w:val="007F33F3"/>
    <w:pPr>
      <w:spacing w:after="120"/>
    </w:pPr>
  </w:style>
  <w:style w:type="character" w:customStyle="1" w:styleId="BodyTextChar">
    <w:name w:val="Body Text Char"/>
    <w:basedOn w:val="DefaultParagraphFont"/>
    <w:link w:val="BodyText"/>
    <w:uiPriority w:val="99"/>
    <w:semiHidden/>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iPriority w:val="99"/>
    <w:unhideWhenUsed/>
    <w:rsid w:val="007F33F3"/>
    <w:pPr>
      <w:tabs>
        <w:tab w:val="center" w:pos="4513"/>
        <w:tab w:val="right" w:pos="9026"/>
      </w:tabs>
    </w:pPr>
  </w:style>
  <w:style w:type="character" w:customStyle="1" w:styleId="HeaderChar">
    <w:name w:val="Header Char"/>
    <w:basedOn w:val="DefaultParagraphFont"/>
    <w:link w:val="Header"/>
    <w:uiPriority w:val="99"/>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Zohra Sarwar Khan</cp:lastModifiedBy>
  <cp:revision>4</cp:revision>
  <dcterms:created xsi:type="dcterms:W3CDTF">2021-06-06T04:31:00Z</dcterms:created>
  <dcterms:modified xsi:type="dcterms:W3CDTF">2021-06-08T18:48:00Z</dcterms:modified>
</cp:coreProperties>
</file>