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DEF9FE"/>
  <w:body>
    <w:p w:rsidR="007F33F3" w:rsidRPr="00284410" w:rsidRDefault="007F33F3" w:rsidP="007F33F3">
      <w:pPr>
        <w:jc w:val="center"/>
        <w:rPr>
          <w:rFonts w:ascii="Palatino Linotype" w:hAnsi="Palatino Linotype" w:cstheme="majorBidi"/>
          <w:b/>
          <w:bCs/>
          <w:u w:val="single"/>
        </w:rPr>
      </w:pPr>
      <w:r w:rsidRPr="00284410">
        <w:rPr>
          <w:rFonts w:ascii="Palatino Linotype" w:hAnsi="Palatino Linotype" w:cstheme="majorBidi"/>
          <w:b/>
          <w:bCs/>
          <w:u w:val="single"/>
        </w:rPr>
        <w:t>Before Ali Azeem Ikram, Executive Director/HOD (Adjudication-I)</w:t>
      </w:r>
    </w:p>
    <w:p w:rsidR="007F33F3" w:rsidRPr="00284410" w:rsidRDefault="007F33F3" w:rsidP="007F33F3">
      <w:pPr>
        <w:jc w:val="both"/>
        <w:rPr>
          <w:rFonts w:ascii="Palatino Linotype" w:hAnsi="Palatino Linotype" w:cstheme="majorBidi"/>
          <w:b/>
          <w:bCs/>
          <w:u w:val="single"/>
        </w:rPr>
      </w:pPr>
    </w:p>
    <w:p w:rsidR="007F33F3" w:rsidRPr="00284410" w:rsidRDefault="007F33F3" w:rsidP="007F33F3">
      <w:pPr>
        <w:tabs>
          <w:tab w:val="left" w:pos="1080"/>
        </w:tabs>
        <w:jc w:val="center"/>
        <w:rPr>
          <w:rFonts w:ascii="Palatino Linotype" w:hAnsi="Palatino Linotype"/>
          <w:b/>
          <w:u w:val="single"/>
        </w:rPr>
      </w:pPr>
      <w:r w:rsidRPr="00284410">
        <w:rPr>
          <w:rFonts w:ascii="Palatino Linotype" w:hAnsi="Palatino Linotype" w:cstheme="majorBidi"/>
          <w:b/>
          <w:bCs/>
          <w:u w:val="single"/>
        </w:rPr>
        <w:t xml:space="preserve">In the matter of </w:t>
      </w:r>
      <w:r w:rsidR="00C45FF5" w:rsidRPr="00284410">
        <w:rPr>
          <w:rFonts w:ascii="Palatino Linotype" w:hAnsi="Palatino Linotype"/>
          <w:b/>
          <w:u w:val="single"/>
        </w:rPr>
        <w:t>M</w:t>
      </w:r>
      <w:r w:rsidR="00D07145" w:rsidRPr="00284410">
        <w:rPr>
          <w:rFonts w:ascii="Palatino Linotype" w:hAnsi="Palatino Linotype"/>
          <w:b/>
          <w:u w:val="single"/>
        </w:rPr>
        <w:t>ia</w:t>
      </w:r>
      <w:r w:rsidR="00C45FF5" w:rsidRPr="00284410">
        <w:rPr>
          <w:rFonts w:ascii="Palatino Linotype" w:hAnsi="Palatino Linotype"/>
          <w:b/>
          <w:u w:val="single"/>
        </w:rPr>
        <w:t>n Textile Industries</w:t>
      </w:r>
      <w:r w:rsidRPr="00284410">
        <w:rPr>
          <w:rFonts w:ascii="Palatino Linotype" w:hAnsi="Palatino Linotype"/>
          <w:b/>
          <w:u w:val="single"/>
        </w:rPr>
        <w:t xml:space="preserve"> Limited</w:t>
      </w:r>
    </w:p>
    <w:p w:rsidR="007F33F3" w:rsidRPr="00284410" w:rsidRDefault="007F33F3" w:rsidP="007F33F3">
      <w:pPr>
        <w:tabs>
          <w:tab w:val="left" w:pos="1080"/>
        </w:tabs>
        <w:jc w:val="center"/>
        <w:rPr>
          <w:rFonts w:ascii="Palatino Linotype" w:hAnsi="Palatino Linotype" w:cstheme="majorBidi"/>
          <w:b/>
          <w:bCs/>
          <w:sz w:val="22"/>
          <w:szCs w:val="22"/>
          <w:u w:val="single"/>
        </w:rPr>
      </w:pPr>
    </w:p>
    <w:p w:rsidR="007F33F3" w:rsidRPr="00284410" w:rsidRDefault="007F33F3" w:rsidP="007F33F3">
      <w:pPr>
        <w:jc w:val="both"/>
        <w:rPr>
          <w:rFonts w:ascii="Palatino Linotype" w:hAnsi="Palatino Linotype" w:cstheme="majorBidi"/>
          <w:b/>
          <w:bCs/>
          <w:sz w:val="22"/>
          <w:szCs w:val="22"/>
          <w:u w:val="single"/>
        </w:rPr>
      </w:pPr>
    </w:p>
    <w:tbl>
      <w:tblPr>
        <w:tblStyle w:val="TableGrid"/>
        <w:tblW w:w="9341" w:type="dxa"/>
        <w:tblBorders>
          <w:left w:val="none" w:sz="0" w:space="0" w:color="auto"/>
          <w:right w:val="none" w:sz="0" w:space="0" w:color="auto"/>
          <w:insideV w:val="none" w:sz="0" w:space="0" w:color="auto"/>
        </w:tblBorders>
        <w:tblLook w:val="04A0" w:firstRow="1" w:lastRow="0" w:firstColumn="1" w:lastColumn="0" w:noHBand="0" w:noVBand="1"/>
      </w:tblPr>
      <w:tblGrid>
        <w:gridCol w:w="4717"/>
        <w:gridCol w:w="4624"/>
      </w:tblGrid>
      <w:tr w:rsidR="007F33F3" w:rsidRPr="00284410" w:rsidTr="00991511">
        <w:trPr>
          <w:trHeight w:hRule="exact" w:val="965"/>
        </w:trPr>
        <w:tc>
          <w:tcPr>
            <w:tcW w:w="4717" w:type="dxa"/>
            <w:tcBorders>
              <w:bottom w:val="single" w:sz="4" w:space="0" w:color="auto"/>
            </w:tcBorders>
            <w:vAlign w:val="center"/>
          </w:tcPr>
          <w:p w:rsidR="007F33F3" w:rsidRPr="00284410" w:rsidRDefault="007F33F3" w:rsidP="00991511">
            <w:pPr>
              <w:tabs>
                <w:tab w:val="left" w:pos="9450"/>
              </w:tabs>
              <w:ind w:right="75"/>
              <w:jc w:val="both"/>
              <w:outlineLvl w:val="0"/>
              <w:rPr>
                <w:rFonts w:ascii="Palatino Linotype" w:hAnsi="Palatino Linotype" w:cstheme="majorBidi"/>
                <w:bCs/>
                <w:sz w:val="22"/>
                <w:szCs w:val="22"/>
              </w:rPr>
            </w:pPr>
            <w:r w:rsidRPr="00284410">
              <w:rPr>
                <w:rFonts w:ascii="Palatino Linotype" w:hAnsi="Palatino Linotype" w:cstheme="majorBidi"/>
                <w:bCs/>
                <w:sz w:val="22"/>
                <w:szCs w:val="22"/>
              </w:rPr>
              <w:t>Dates of Hearing</w:t>
            </w:r>
          </w:p>
        </w:tc>
        <w:tc>
          <w:tcPr>
            <w:tcW w:w="4624" w:type="dxa"/>
            <w:tcBorders>
              <w:bottom w:val="single" w:sz="4" w:space="0" w:color="auto"/>
            </w:tcBorders>
            <w:vAlign w:val="center"/>
          </w:tcPr>
          <w:p w:rsidR="00897D6C" w:rsidRPr="00284410" w:rsidRDefault="00897D6C" w:rsidP="00897D6C">
            <w:pPr>
              <w:pStyle w:val="NormalWeb"/>
              <w:jc w:val="both"/>
              <w:rPr>
                <w:rFonts w:ascii="Palatino Linotype" w:hAnsi="Palatino Linotype"/>
                <w:sz w:val="22"/>
                <w:szCs w:val="22"/>
              </w:rPr>
            </w:pPr>
          </w:p>
          <w:p w:rsidR="00600F0B" w:rsidRPr="00284410" w:rsidRDefault="00600F0B" w:rsidP="00600F0B">
            <w:pPr>
              <w:pStyle w:val="NormalWeb"/>
              <w:jc w:val="both"/>
              <w:rPr>
                <w:rFonts w:ascii="Palatino Linotype" w:hAnsi="Palatino Linotype"/>
                <w:sz w:val="22"/>
                <w:szCs w:val="22"/>
              </w:rPr>
            </w:pPr>
            <w:r w:rsidRPr="00284410">
              <w:rPr>
                <w:rFonts w:ascii="Palatino Linotype" w:hAnsi="Palatino Linotype"/>
                <w:sz w:val="22"/>
                <w:szCs w:val="22"/>
              </w:rPr>
              <w:t>July 17, 2020, September 18, 2020</w:t>
            </w:r>
          </w:p>
          <w:p w:rsidR="007F33F3" w:rsidRPr="00284410" w:rsidRDefault="007F33F3" w:rsidP="00991511">
            <w:pPr>
              <w:pStyle w:val="NormalWeb"/>
              <w:jc w:val="both"/>
              <w:rPr>
                <w:rFonts w:ascii="Palatino Linotype" w:hAnsi="Palatino Linotype"/>
                <w:sz w:val="22"/>
                <w:szCs w:val="22"/>
              </w:rPr>
            </w:pPr>
          </w:p>
          <w:p w:rsidR="007F33F3" w:rsidRPr="00284410" w:rsidRDefault="007F33F3" w:rsidP="00897D6C">
            <w:pPr>
              <w:pStyle w:val="NormalWeb"/>
              <w:jc w:val="both"/>
              <w:rPr>
                <w:rFonts w:ascii="Palatino Linotype" w:hAnsi="Palatino Linotype"/>
                <w:sz w:val="22"/>
                <w:szCs w:val="22"/>
              </w:rPr>
            </w:pPr>
          </w:p>
        </w:tc>
      </w:tr>
    </w:tbl>
    <w:p w:rsidR="007F33F3" w:rsidRPr="00284410" w:rsidRDefault="007F33F3" w:rsidP="007F33F3">
      <w:pPr>
        <w:jc w:val="both"/>
        <w:rPr>
          <w:rFonts w:ascii="Palatino Linotype" w:hAnsi="Palatino Linotype" w:cstheme="majorBidi"/>
          <w:b/>
          <w:sz w:val="22"/>
          <w:szCs w:val="22"/>
        </w:rPr>
      </w:pPr>
    </w:p>
    <w:p w:rsidR="007F33F3" w:rsidRPr="00284410" w:rsidRDefault="007F33F3" w:rsidP="007F33F3">
      <w:pPr>
        <w:jc w:val="center"/>
        <w:rPr>
          <w:rFonts w:ascii="Palatino Linotype" w:hAnsi="Palatino Linotype" w:cstheme="majorBidi"/>
          <w:b/>
          <w:sz w:val="22"/>
          <w:szCs w:val="22"/>
        </w:rPr>
      </w:pPr>
      <w:r w:rsidRPr="00284410">
        <w:rPr>
          <w:rFonts w:ascii="Palatino Linotype" w:hAnsi="Palatino Linotype" w:cstheme="majorBidi"/>
          <w:b/>
          <w:sz w:val="22"/>
          <w:szCs w:val="22"/>
        </w:rPr>
        <w:t>Order-Redacted Version</w:t>
      </w:r>
    </w:p>
    <w:p w:rsidR="007F33F3" w:rsidRPr="00284410" w:rsidRDefault="007F33F3" w:rsidP="007F33F3">
      <w:pPr>
        <w:jc w:val="both"/>
        <w:rPr>
          <w:rFonts w:ascii="Palatino Linotype" w:hAnsi="Palatino Linotype" w:cstheme="majorBidi"/>
          <w:sz w:val="22"/>
          <w:szCs w:val="22"/>
          <w:u w:val="single"/>
        </w:rPr>
      </w:pPr>
    </w:p>
    <w:p w:rsidR="007F33F3" w:rsidRPr="00284410" w:rsidRDefault="007F33F3" w:rsidP="007F33F3">
      <w:pPr>
        <w:tabs>
          <w:tab w:val="left" w:pos="1080"/>
        </w:tabs>
        <w:jc w:val="both"/>
        <w:rPr>
          <w:rFonts w:ascii="Palatino Linotype" w:hAnsi="Palatino Linotype"/>
          <w:sz w:val="22"/>
          <w:szCs w:val="22"/>
        </w:rPr>
      </w:pPr>
      <w:r w:rsidRPr="00284410">
        <w:rPr>
          <w:rFonts w:ascii="Palatino Linotype" w:hAnsi="Palatino Linotype" w:cstheme="majorBidi"/>
          <w:sz w:val="22"/>
          <w:szCs w:val="22"/>
        </w:rPr>
        <w:t xml:space="preserve">Order dated </w:t>
      </w:r>
      <w:r w:rsidR="00C45FF5" w:rsidRPr="00284410">
        <w:rPr>
          <w:rFonts w:ascii="Palatino Linotype" w:hAnsi="Palatino Linotype" w:cstheme="majorBidi"/>
          <w:sz w:val="22"/>
          <w:szCs w:val="22"/>
        </w:rPr>
        <w:t>November</w:t>
      </w:r>
      <w:r w:rsidR="00897D6C" w:rsidRPr="00284410">
        <w:rPr>
          <w:rFonts w:ascii="Palatino Linotype" w:hAnsi="Palatino Linotype" w:cstheme="majorBidi"/>
          <w:sz w:val="22"/>
          <w:szCs w:val="22"/>
        </w:rPr>
        <w:t xml:space="preserve"> </w:t>
      </w:r>
      <w:r w:rsidR="00C45FF5" w:rsidRPr="00284410">
        <w:rPr>
          <w:rFonts w:ascii="Palatino Linotype" w:hAnsi="Palatino Linotype" w:cstheme="majorBidi"/>
          <w:sz w:val="22"/>
          <w:szCs w:val="22"/>
        </w:rPr>
        <w:t>4</w:t>
      </w:r>
      <w:r w:rsidRPr="00284410">
        <w:rPr>
          <w:rFonts w:ascii="Palatino Linotype" w:hAnsi="Palatino Linotype" w:cstheme="majorBidi"/>
          <w:sz w:val="22"/>
          <w:szCs w:val="22"/>
        </w:rPr>
        <w:t>, 202</w:t>
      </w:r>
      <w:r w:rsidR="00C45FF5" w:rsidRPr="00284410">
        <w:rPr>
          <w:rFonts w:ascii="Palatino Linotype" w:hAnsi="Palatino Linotype" w:cstheme="majorBidi"/>
          <w:sz w:val="22"/>
          <w:szCs w:val="22"/>
        </w:rPr>
        <w:t>0</w:t>
      </w:r>
      <w:r w:rsidRPr="00284410">
        <w:rPr>
          <w:rFonts w:ascii="Palatino Linotype" w:hAnsi="Palatino Linotype" w:cstheme="majorBidi"/>
          <w:sz w:val="22"/>
          <w:szCs w:val="22"/>
        </w:rPr>
        <w:t xml:space="preserve"> was passed by Executive Director/Head of Department (Adjudication-I) in the matter of </w:t>
      </w:r>
      <w:r w:rsidR="00C45FF5" w:rsidRPr="00284410">
        <w:rPr>
          <w:rFonts w:ascii="Palatino Linotype" w:hAnsi="Palatino Linotype"/>
          <w:sz w:val="22"/>
          <w:szCs w:val="22"/>
        </w:rPr>
        <w:t>M</w:t>
      </w:r>
      <w:r w:rsidR="00D07145" w:rsidRPr="00284410">
        <w:rPr>
          <w:rFonts w:ascii="Palatino Linotype" w:hAnsi="Palatino Linotype"/>
          <w:sz w:val="22"/>
          <w:szCs w:val="22"/>
        </w:rPr>
        <w:t>ia</w:t>
      </w:r>
      <w:r w:rsidR="00C45FF5" w:rsidRPr="00284410">
        <w:rPr>
          <w:rFonts w:ascii="Palatino Linotype" w:hAnsi="Palatino Linotype"/>
          <w:sz w:val="22"/>
          <w:szCs w:val="22"/>
        </w:rPr>
        <w:t>n Textile Industries</w:t>
      </w:r>
      <w:r w:rsidRPr="00284410">
        <w:rPr>
          <w:rFonts w:ascii="Palatino Linotype" w:hAnsi="Palatino Linotype"/>
          <w:sz w:val="22"/>
          <w:szCs w:val="22"/>
        </w:rPr>
        <w:t xml:space="preserve"> Limited. </w:t>
      </w:r>
      <w:r w:rsidRPr="00284410">
        <w:rPr>
          <w:rFonts w:ascii="Palatino Linotype" w:hAnsi="Palatino Linotype" w:cstheme="majorBidi"/>
          <w:sz w:val="22"/>
          <w:szCs w:val="22"/>
        </w:rPr>
        <w:t>Relevant details are given as hereunder:</w:t>
      </w:r>
    </w:p>
    <w:p w:rsidR="007F33F3" w:rsidRPr="00284410" w:rsidRDefault="007F33F3" w:rsidP="007F33F3">
      <w:pPr>
        <w:ind w:firstLine="720"/>
        <w:jc w:val="both"/>
        <w:rPr>
          <w:rFonts w:ascii="Palatino Linotype" w:hAnsi="Palatino Linotype" w:cstheme="majorBidi"/>
          <w:sz w:val="22"/>
          <w:szCs w:val="22"/>
        </w:rPr>
      </w:pPr>
    </w:p>
    <w:tbl>
      <w:tblPr>
        <w:tblStyle w:val="TableGrid"/>
        <w:tblW w:w="9265" w:type="dxa"/>
        <w:tblLook w:val="04A0" w:firstRow="1" w:lastRow="0" w:firstColumn="1" w:lastColumn="0" w:noHBand="0" w:noVBand="1"/>
      </w:tblPr>
      <w:tblGrid>
        <w:gridCol w:w="2605"/>
        <w:gridCol w:w="6660"/>
      </w:tblGrid>
      <w:tr w:rsidR="007F33F3" w:rsidRPr="00284410" w:rsidTr="00991511">
        <w:tc>
          <w:tcPr>
            <w:tcW w:w="2605" w:type="dxa"/>
          </w:tcPr>
          <w:p w:rsidR="007F33F3" w:rsidRPr="00284410" w:rsidRDefault="007F33F3" w:rsidP="00991511">
            <w:pPr>
              <w:jc w:val="center"/>
              <w:rPr>
                <w:rFonts w:ascii="Palatino Linotype" w:hAnsi="Palatino Linotype" w:cstheme="majorBidi"/>
                <w:b/>
                <w:sz w:val="22"/>
                <w:szCs w:val="22"/>
              </w:rPr>
            </w:pPr>
            <w:r w:rsidRPr="00284410">
              <w:rPr>
                <w:rFonts w:ascii="Palatino Linotype" w:hAnsi="Palatino Linotype" w:cstheme="majorBidi"/>
                <w:b/>
                <w:sz w:val="22"/>
                <w:szCs w:val="22"/>
              </w:rPr>
              <w:t>Nature</w:t>
            </w:r>
          </w:p>
        </w:tc>
        <w:tc>
          <w:tcPr>
            <w:tcW w:w="6660" w:type="dxa"/>
          </w:tcPr>
          <w:p w:rsidR="007F33F3" w:rsidRPr="00284410" w:rsidRDefault="007F33F3" w:rsidP="00991511">
            <w:pPr>
              <w:jc w:val="center"/>
              <w:rPr>
                <w:rFonts w:ascii="Palatino Linotype" w:hAnsi="Palatino Linotype" w:cstheme="majorBidi"/>
                <w:b/>
                <w:sz w:val="22"/>
                <w:szCs w:val="22"/>
              </w:rPr>
            </w:pPr>
            <w:r w:rsidRPr="00284410">
              <w:rPr>
                <w:rFonts w:ascii="Palatino Linotype" w:hAnsi="Palatino Linotype" w:cstheme="majorBidi"/>
                <w:b/>
                <w:sz w:val="22"/>
                <w:szCs w:val="22"/>
              </w:rPr>
              <w:t>Details</w:t>
            </w:r>
          </w:p>
        </w:tc>
      </w:tr>
      <w:tr w:rsidR="007F33F3" w:rsidRPr="00284410" w:rsidTr="00991511">
        <w:tc>
          <w:tcPr>
            <w:tcW w:w="2605" w:type="dxa"/>
          </w:tcPr>
          <w:p w:rsidR="007F33F3" w:rsidRPr="00284410" w:rsidRDefault="007F33F3" w:rsidP="007F33F3">
            <w:pPr>
              <w:pStyle w:val="NoSpacing"/>
              <w:numPr>
                <w:ilvl w:val="0"/>
                <w:numId w:val="1"/>
              </w:numPr>
              <w:ind w:left="334" w:hanging="334"/>
              <w:rPr>
                <w:rFonts w:ascii="Palatino Linotype" w:hAnsi="Palatino Linotype" w:cs="Times New Roman"/>
                <w:sz w:val="22"/>
                <w:szCs w:val="22"/>
              </w:rPr>
            </w:pPr>
            <w:r w:rsidRPr="00284410">
              <w:rPr>
                <w:rFonts w:ascii="Palatino Linotype" w:hAnsi="Palatino Linotype"/>
                <w:sz w:val="22"/>
                <w:szCs w:val="22"/>
              </w:rPr>
              <w:t>Date of Action</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7F33F3" w:rsidP="00991511">
            <w:pPr>
              <w:jc w:val="both"/>
              <w:rPr>
                <w:rFonts w:ascii="Palatino Linotype" w:hAnsi="Palatino Linotype" w:cstheme="majorBidi"/>
                <w:sz w:val="22"/>
                <w:szCs w:val="22"/>
              </w:rPr>
            </w:pPr>
            <w:r w:rsidRPr="00284410">
              <w:rPr>
                <w:rFonts w:ascii="Palatino Linotype" w:hAnsi="Palatino Linotype" w:cstheme="majorBidi"/>
                <w:sz w:val="22"/>
                <w:szCs w:val="22"/>
              </w:rPr>
              <w:t xml:space="preserve">Show cause notice dated </w:t>
            </w:r>
            <w:r w:rsidR="00C45FF5" w:rsidRPr="00284410">
              <w:rPr>
                <w:rFonts w:ascii="Palatino Linotype" w:hAnsi="Palatino Linotype" w:cstheme="majorBidi"/>
                <w:sz w:val="22"/>
                <w:szCs w:val="22"/>
              </w:rPr>
              <w:t>November 14</w:t>
            </w:r>
            <w:r w:rsidRPr="00284410">
              <w:rPr>
                <w:rFonts w:ascii="Palatino Linotype" w:hAnsi="Palatino Linotype" w:cstheme="majorBidi"/>
                <w:sz w:val="22"/>
                <w:szCs w:val="22"/>
              </w:rPr>
              <w:t>, 20</w:t>
            </w:r>
            <w:r w:rsidR="00C45B86" w:rsidRPr="00284410">
              <w:rPr>
                <w:rFonts w:ascii="Palatino Linotype" w:hAnsi="Palatino Linotype" w:cstheme="majorBidi"/>
                <w:sz w:val="22"/>
                <w:szCs w:val="22"/>
              </w:rPr>
              <w:t>19</w:t>
            </w:r>
          </w:p>
        </w:tc>
      </w:tr>
      <w:tr w:rsidR="007F33F3" w:rsidRPr="00284410" w:rsidTr="00991511">
        <w:tc>
          <w:tcPr>
            <w:tcW w:w="2605" w:type="dxa"/>
          </w:tcPr>
          <w:p w:rsidR="007F33F3" w:rsidRPr="00284410" w:rsidRDefault="007F33F3" w:rsidP="007F33F3">
            <w:pPr>
              <w:pStyle w:val="NoSpacing"/>
              <w:numPr>
                <w:ilvl w:val="0"/>
                <w:numId w:val="1"/>
              </w:numPr>
              <w:ind w:left="334" w:hanging="334"/>
              <w:rPr>
                <w:rFonts w:ascii="Palatino Linotype" w:hAnsi="Palatino Linotype"/>
                <w:sz w:val="22"/>
                <w:szCs w:val="22"/>
              </w:rPr>
            </w:pPr>
            <w:r w:rsidRPr="00284410">
              <w:rPr>
                <w:rFonts w:ascii="Palatino Linotype" w:hAnsi="Palatino Linotype"/>
                <w:sz w:val="22"/>
                <w:szCs w:val="22"/>
              </w:rPr>
              <w:t>Name of Company</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C45FF5" w:rsidP="00991511">
            <w:pPr>
              <w:jc w:val="both"/>
              <w:rPr>
                <w:rFonts w:ascii="Palatino Linotype" w:hAnsi="Palatino Linotype" w:cstheme="majorBidi"/>
                <w:sz w:val="22"/>
                <w:szCs w:val="22"/>
              </w:rPr>
            </w:pPr>
            <w:r w:rsidRPr="00284410">
              <w:rPr>
                <w:rFonts w:ascii="Palatino Linotype" w:hAnsi="Palatino Linotype"/>
                <w:sz w:val="22"/>
                <w:szCs w:val="22"/>
              </w:rPr>
              <w:t>M</w:t>
            </w:r>
            <w:r w:rsidR="00D07145" w:rsidRPr="00284410">
              <w:rPr>
                <w:rFonts w:ascii="Palatino Linotype" w:hAnsi="Palatino Linotype"/>
                <w:sz w:val="22"/>
                <w:szCs w:val="22"/>
              </w:rPr>
              <w:t>ia</w:t>
            </w:r>
            <w:r w:rsidRPr="00284410">
              <w:rPr>
                <w:rFonts w:ascii="Palatino Linotype" w:hAnsi="Palatino Linotype"/>
                <w:sz w:val="22"/>
                <w:szCs w:val="22"/>
              </w:rPr>
              <w:t>n Textile Industries</w:t>
            </w:r>
            <w:r w:rsidR="007F33F3" w:rsidRPr="00284410">
              <w:rPr>
                <w:rFonts w:ascii="Palatino Linotype" w:hAnsi="Palatino Linotype"/>
                <w:sz w:val="22"/>
                <w:szCs w:val="22"/>
              </w:rPr>
              <w:t xml:space="preserve"> Limited</w:t>
            </w:r>
          </w:p>
        </w:tc>
      </w:tr>
      <w:tr w:rsidR="007F33F3" w:rsidRPr="00284410" w:rsidTr="00991511">
        <w:tc>
          <w:tcPr>
            <w:tcW w:w="2605" w:type="dxa"/>
          </w:tcPr>
          <w:p w:rsidR="007F33F3" w:rsidRPr="00284410" w:rsidRDefault="007F33F3" w:rsidP="007F33F3">
            <w:pPr>
              <w:pStyle w:val="NoSpacing"/>
              <w:numPr>
                <w:ilvl w:val="0"/>
                <w:numId w:val="1"/>
              </w:numPr>
              <w:ind w:left="334"/>
              <w:rPr>
                <w:rFonts w:ascii="Palatino Linotype" w:hAnsi="Palatino Linotype"/>
                <w:sz w:val="22"/>
                <w:szCs w:val="22"/>
              </w:rPr>
            </w:pPr>
            <w:r w:rsidRPr="00284410">
              <w:rPr>
                <w:rFonts w:ascii="Palatino Linotype" w:hAnsi="Palatino Linotype"/>
                <w:sz w:val="22"/>
                <w:szCs w:val="22"/>
              </w:rPr>
              <w:t>Name of Individual*</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7F33F3" w:rsidP="00991511">
            <w:pPr>
              <w:jc w:val="both"/>
              <w:rPr>
                <w:rFonts w:ascii="Palatino Linotype" w:hAnsi="Palatino Linotype" w:cstheme="majorBidi"/>
                <w:sz w:val="22"/>
                <w:szCs w:val="22"/>
              </w:rPr>
            </w:pPr>
            <w:r w:rsidRPr="00284410">
              <w:rPr>
                <w:rFonts w:ascii="Palatino Linotype" w:hAnsi="Palatino Linotype" w:cstheme="majorBidi"/>
                <w:sz w:val="22"/>
                <w:szCs w:val="22"/>
              </w:rPr>
              <w:t xml:space="preserve">The proceedings were initiated against the directors of the Company i.e. </w:t>
            </w:r>
            <w:r w:rsidR="00C45FF5" w:rsidRPr="00284410">
              <w:rPr>
                <w:rFonts w:ascii="Palatino Linotype" w:hAnsi="Palatino Linotype"/>
                <w:sz w:val="22"/>
                <w:szCs w:val="22"/>
              </w:rPr>
              <w:t>M</w:t>
            </w:r>
            <w:r w:rsidR="00D07145" w:rsidRPr="00284410">
              <w:rPr>
                <w:rFonts w:ascii="Palatino Linotype" w:hAnsi="Palatino Linotype"/>
                <w:sz w:val="22"/>
                <w:szCs w:val="22"/>
              </w:rPr>
              <w:t>ia</w:t>
            </w:r>
            <w:r w:rsidR="00C45FF5" w:rsidRPr="00284410">
              <w:rPr>
                <w:rFonts w:ascii="Palatino Linotype" w:hAnsi="Palatino Linotype"/>
                <w:sz w:val="22"/>
                <w:szCs w:val="22"/>
              </w:rPr>
              <w:t>n Textile Industries</w:t>
            </w:r>
            <w:r w:rsidRPr="00284410">
              <w:rPr>
                <w:rFonts w:ascii="Palatino Linotype" w:hAnsi="Palatino Linotype"/>
                <w:sz w:val="22"/>
                <w:szCs w:val="22"/>
              </w:rPr>
              <w:t xml:space="preserve"> Limited</w:t>
            </w:r>
          </w:p>
        </w:tc>
      </w:tr>
      <w:tr w:rsidR="007F33F3" w:rsidRPr="00284410" w:rsidTr="00991511">
        <w:tc>
          <w:tcPr>
            <w:tcW w:w="2605" w:type="dxa"/>
          </w:tcPr>
          <w:p w:rsidR="007F33F3" w:rsidRPr="00284410" w:rsidRDefault="007F33F3" w:rsidP="007F33F3">
            <w:pPr>
              <w:pStyle w:val="NoSpacing"/>
              <w:numPr>
                <w:ilvl w:val="0"/>
                <w:numId w:val="1"/>
              </w:numPr>
              <w:ind w:left="334" w:hanging="334"/>
              <w:rPr>
                <w:rFonts w:ascii="Palatino Linotype" w:hAnsi="Palatino Linotype"/>
                <w:sz w:val="22"/>
                <w:szCs w:val="22"/>
              </w:rPr>
            </w:pPr>
            <w:r w:rsidRPr="00284410">
              <w:rPr>
                <w:rFonts w:ascii="Palatino Linotype" w:hAnsi="Palatino Linotype"/>
                <w:sz w:val="22"/>
                <w:szCs w:val="22"/>
              </w:rPr>
              <w:t>Nature of Offence</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7F33F3" w:rsidP="00991511">
            <w:pPr>
              <w:jc w:val="both"/>
              <w:rPr>
                <w:rFonts w:ascii="Palatino Linotype" w:hAnsi="Palatino Linotype" w:cstheme="majorBidi"/>
                <w:sz w:val="22"/>
                <w:szCs w:val="22"/>
              </w:rPr>
            </w:pPr>
            <w:r w:rsidRPr="00284410">
              <w:rPr>
                <w:rFonts w:ascii="Palatino Linotype" w:hAnsi="Palatino Linotype" w:cstheme="majorBidi"/>
                <w:sz w:val="22"/>
                <w:szCs w:val="22"/>
              </w:rPr>
              <w:t xml:space="preserve">Violations of section </w:t>
            </w:r>
            <w:r w:rsidR="00C45FF5" w:rsidRPr="00284410">
              <w:rPr>
                <w:rFonts w:ascii="Palatino Linotype" w:hAnsi="Palatino Linotype" w:cstheme="majorBidi"/>
                <w:sz w:val="22"/>
                <w:szCs w:val="22"/>
              </w:rPr>
              <w:t>196</w:t>
            </w:r>
            <w:r w:rsidR="00600F0B" w:rsidRPr="00284410">
              <w:rPr>
                <w:rFonts w:ascii="Palatino Linotype" w:hAnsi="Palatino Linotype" w:cstheme="majorBidi"/>
                <w:sz w:val="22"/>
                <w:szCs w:val="22"/>
              </w:rPr>
              <w:t xml:space="preserve"> and section 476 of the Companies Ordinance, 1984 read with SRO 1227(I)/2005 dated December 12, 2005.</w:t>
            </w:r>
          </w:p>
        </w:tc>
      </w:tr>
      <w:tr w:rsidR="007F33F3" w:rsidRPr="00284410" w:rsidTr="00991511">
        <w:tc>
          <w:tcPr>
            <w:tcW w:w="2605" w:type="dxa"/>
          </w:tcPr>
          <w:p w:rsidR="007F33F3" w:rsidRPr="00284410" w:rsidRDefault="007F33F3" w:rsidP="007F33F3">
            <w:pPr>
              <w:pStyle w:val="NoSpacing"/>
              <w:numPr>
                <w:ilvl w:val="0"/>
                <w:numId w:val="1"/>
              </w:numPr>
              <w:ind w:left="334"/>
              <w:rPr>
                <w:rFonts w:ascii="Palatino Linotype" w:hAnsi="Palatino Linotype"/>
                <w:sz w:val="22"/>
                <w:szCs w:val="22"/>
              </w:rPr>
            </w:pPr>
            <w:r w:rsidRPr="00284410">
              <w:rPr>
                <w:rFonts w:ascii="Palatino Linotype" w:hAnsi="Palatino Linotype"/>
                <w:sz w:val="22"/>
                <w:szCs w:val="22"/>
              </w:rPr>
              <w:t>Action Taken</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7F33F3" w:rsidP="00991511">
            <w:pPr>
              <w:pStyle w:val="ListParagraph"/>
              <w:ind w:left="0"/>
              <w:contextualSpacing w:val="0"/>
              <w:jc w:val="both"/>
              <w:rPr>
                <w:rFonts w:ascii="Palatino Linotype" w:hAnsi="Palatino Linotype" w:cstheme="majorBidi"/>
                <w:sz w:val="22"/>
                <w:szCs w:val="22"/>
              </w:rPr>
            </w:pPr>
            <w:r w:rsidRPr="00284410">
              <w:rPr>
                <w:rFonts w:ascii="Palatino Linotype" w:hAnsi="Palatino Linotype" w:cstheme="majorBidi"/>
                <w:sz w:val="22"/>
                <w:szCs w:val="22"/>
              </w:rPr>
              <w:t>Key findings were reported in the following manner:</w:t>
            </w:r>
          </w:p>
          <w:p w:rsidR="007F33F3" w:rsidRPr="00284410" w:rsidRDefault="007F33F3" w:rsidP="00991511">
            <w:pPr>
              <w:pStyle w:val="ListParagraph"/>
              <w:ind w:left="0"/>
              <w:contextualSpacing w:val="0"/>
              <w:jc w:val="both"/>
              <w:rPr>
                <w:rFonts w:ascii="Palatino Linotype" w:hAnsi="Palatino Linotype" w:cstheme="majorBidi"/>
                <w:sz w:val="22"/>
                <w:szCs w:val="22"/>
              </w:rPr>
            </w:pPr>
          </w:p>
          <w:p w:rsidR="004D2778" w:rsidRPr="00284410" w:rsidRDefault="007F33F3" w:rsidP="004D2778">
            <w:pPr>
              <w:jc w:val="both"/>
              <w:rPr>
                <w:rFonts w:ascii="Palatino Linotype" w:hAnsi="Palatino Linotype"/>
                <w:sz w:val="22"/>
                <w:szCs w:val="22"/>
              </w:rPr>
            </w:pPr>
            <w:r w:rsidRPr="00284410">
              <w:rPr>
                <w:rFonts w:ascii="Palatino Linotype" w:hAnsi="Palatino Linotype" w:cstheme="majorBidi"/>
                <w:sz w:val="22"/>
                <w:szCs w:val="22"/>
              </w:rPr>
              <w:t>I have examined</w:t>
            </w:r>
            <w:r w:rsidRPr="00284410">
              <w:rPr>
                <w:rFonts w:ascii="Palatino Linotype" w:hAnsi="Palatino Linotype"/>
                <w:sz w:val="22"/>
                <w:szCs w:val="22"/>
              </w:rPr>
              <w:t xml:space="preserve"> the facts of the case, that</w:t>
            </w:r>
            <w:r w:rsidR="00A04BAF" w:rsidRPr="00284410">
              <w:rPr>
                <w:rFonts w:ascii="Palatino Linotype" w:hAnsi="Palatino Linotype"/>
                <w:sz w:val="22"/>
                <w:szCs w:val="22"/>
              </w:rPr>
              <w:t xml:space="preserve"> </w:t>
            </w:r>
            <w:r w:rsidR="004D2778" w:rsidRPr="00284410">
              <w:rPr>
                <w:rFonts w:ascii="Palatino Linotype" w:hAnsi="Palatino Linotype"/>
                <w:sz w:val="22"/>
                <w:szCs w:val="22"/>
              </w:rPr>
              <w:t xml:space="preserve">the Company was unable to sell/dispose of </w:t>
            </w:r>
            <w:r w:rsidR="00284410" w:rsidRPr="00284410">
              <w:rPr>
                <w:rFonts w:ascii="Palatino Linotype" w:hAnsi="Palatino Linotype"/>
                <w:sz w:val="22"/>
                <w:szCs w:val="22"/>
              </w:rPr>
              <w:t>Property, Plant and Equipment (</w:t>
            </w:r>
            <w:r w:rsidR="004D2778" w:rsidRPr="00284410">
              <w:rPr>
                <w:rFonts w:ascii="Palatino Linotype" w:hAnsi="Palatino Linotype"/>
                <w:sz w:val="22"/>
                <w:szCs w:val="22"/>
              </w:rPr>
              <w:t>PPE</w:t>
            </w:r>
            <w:r w:rsidR="00284410" w:rsidRPr="00284410">
              <w:rPr>
                <w:rFonts w:ascii="Palatino Linotype" w:hAnsi="Palatino Linotype"/>
                <w:sz w:val="22"/>
                <w:szCs w:val="22"/>
              </w:rPr>
              <w:t>)</w:t>
            </w:r>
            <w:r w:rsidR="004D2778" w:rsidRPr="00284410">
              <w:rPr>
                <w:rFonts w:ascii="Palatino Linotype" w:hAnsi="Palatino Linotype"/>
                <w:sz w:val="22"/>
                <w:szCs w:val="22"/>
              </w:rPr>
              <w:t xml:space="preserve"> within </w:t>
            </w:r>
            <w:r w:rsidR="00B46F89" w:rsidRPr="00284410">
              <w:rPr>
                <w:rFonts w:ascii="Palatino Linotype" w:hAnsi="Palatino Linotype"/>
                <w:sz w:val="22"/>
                <w:szCs w:val="22"/>
              </w:rPr>
              <w:t>one-year</w:t>
            </w:r>
            <w:r w:rsidR="004D2778" w:rsidRPr="00284410">
              <w:rPr>
                <w:rFonts w:ascii="Palatino Linotype" w:hAnsi="Palatino Linotype"/>
                <w:sz w:val="22"/>
                <w:szCs w:val="22"/>
              </w:rPr>
              <w:t xml:space="preserve"> period from the date of the approval of shareholders and thereby found non-compliant with the provision of SRO, and failed to seek shareholders’ approval in term of Section 196(3) of the Ordinance subsequent to lapse of </w:t>
            </w:r>
            <w:r w:rsidR="00B46F89" w:rsidRPr="00284410">
              <w:rPr>
                <w:rFonts w:ascii="Palatino Linotype" w:hAnsi="Palatino Linotype"/>
                <w:sz w:val="22"/>
                <w:szCs w:val="22"/>
              </w:rPr>
              <w:t>one-year</w:t>
            </w:r>
            <w:r w:rsidR="004D2778" w:rsidRPr="00284410">
              <w:rPr>
                <w:rFonts w:ascii="Palatino Linotype" w:hAnsi="Palatino Linotype"/>
                <w:sz w:val="22"/>
                <w:szCs w:val="22"/>
              </w:rPr>
              <w:t xml:space="preserve"> period on October 30, 2014. Moreover, subsequent to aforesaid disposals, the matters </w:t>
            </w:r>
            <w:r w:rsidR="00B46F89" w:rsidRPr="00284410">
              <w:rPr>
                <w:rFonts w:ascii="Palatino Linotype" w:hAnsi="Palatino Linotype"/>
                <w:sz w:val="22"/>
                <w:szCs w:val="22"/>
              </w:rPr>
              <w:t>were</w:t>
            </w:r>
            <w:r w:rsidR="004D2778" w:rsidRPr="00284410">
              <w:rPr>
                <w:rFonts w:ascii="Palatino Linotype" w:hAnsi="Palatino Linotype"/>
                <w:sz w:val="22"/>
                <w:szCs w:val="22"/>
              </w:rPr>
              <w:t xml:space="preserve"> never placed before the members for their ratification or subsequent approval for disposal of PPE at the given terms and conditions of sale as approved by the members. In terms of section 196 of the Ordinance, it is clear that the board of directors of a public company or of a subsidiary of a public company is restricted to sell, lease or otherwise dispose of the undertakings or a sizeable part unless prior authorization/consent by shareholders in general meeting is obtained. Requirements of SRO are also clear w.r.t validity of any decision to sell assets under authority of a special </w:t>
            </w:r>
            <w:r w:rsidR="004D2778" w:rsidRPr="00284410">
              <w:rPr>
                <w:rFonts w:ascii="Palatino Linotype" w:hAnsi="Palatino Linotype"/>
                <w:sz w:val="22"/>
                <w:szCs w:val="22"/>
              </w:rPr>
              <w:lastRenderedPageBreak/>
              <w:t xml:space="preserve">resolution already passed if not implemented within one year, the resolution would stand lapsed. Hence, approval of members in terms of section 196(3) of the Ordinance is time bound and disposal after the lapse of period does not satisfy the purpose of Section 196 of the Ordinance and of the SRO. </w:t>
            </w:r>
          </w:p>
          <w:p w:rsidR="007F33F3" w:rsidRPr="00284410" w:rsidRDefault="007F33F3" w:rsidP="00991511">
            <w:pPr>
              <w:pStyle w:val="ListParagraph"/>
              <w:tabs>
                <w:tab w:val="left" w:pos="0"/>
              </w:tabs>
              <w:spacing w:line="276" w:lineRule="auto"/>
              <w:ind w:left="0"/>
              <w:contextualSpacing w:val="0"/>
              <w:jc w:val="both"/>
              <w:rPr>
                <w:rFonts w:ascii="Palatino Linotype" w:hAnsi="Palatino Linotype"/>
                <w:sz w:val="22"/>
                <w:szCs w:val="22"/>
              </w:rPr>
            </w:pPr>
          </w:p>
          <w:p w:rsidR="00284410" w:rsidRPr="00284410" w:rsidRDefault="007F33F3" w:rsidP="00DC07AA">
            <w:pPr>
              <w:jc w:val="both"/>
              <w:rPr>
                <w:rFonts w:ascii="Palatino Linotype" w:hAnsi="Palatino Linotype"/>
                <w:sz w:val="22"/>
                <w:szCs w:val="22"/>
              </w:rPr>
            </w:pPr>
            <w:r w:rsidRPr="00284410">
              <w:rPr>
                <w:rFonts w:ascii="Palatino Linotype" w:hAnsi="Palatino Linotype"/>
                <w:sz w:val="22"/>
                <w:szCs w:val="22"/>
              </w:rPr>
              <w:t>2.</w:t>
            </w:r>
            <w:r w:rsidRPr="00284410">
              <w:rPr>
                <w:rFonts w:ascii="Palatino Linotype" w:hAnsi="Palatino Linotype"/>
                <w:sz w:val="22"/>
                <w:szCs w:val="22"/>
              </w:rPr>
              <w:tab/>
              <w:t>In the aforementioned matter,</w:t>
            </w:r>
            <w:r w:rsidR="00DC07AA" w:rsidRPr="00284410">
              <w:rPr>
                <w:rFonts w:ascii="Palatino Linotype" w:hAnsi="Palatino Linotype"/>
                <w:sz w:val="22"/>
                <w:szCs w:val="22"/>
              </w:rPr>
              <w:t xml:space="preserve"> </w:t>
            </w:r>
            <w:r w:rsidR="00B46F89" w:rsidRPr="00284410">
              <w:rPr>
                <w:rFonts w:ascii="Palatino Linotype" w:hAnsi="Palatino Linotype"/>
                <w:sz w:val="22"/>
                <w:szCs w:val="22"/>
              </w:rPr>
              <w:t>that the provisions of clause (a) to sub-section (3) of section 196 of the Ordinance read with SRO have been contravened and the Respondents are liable under the sub-section (4) of section 196 of the Ordinance.</w:t>
            </w:r>
            <w:r w:rsidR="00284410">
              <w:rPr>
                <w:rFonts w:ascii="Palatino Linotype" w:hAnsi="Palatino Linotype"/>
                <w:sz w:val="22"/>
                <w:szCs w:val="22"/>
              </w:rPr>
              <w:t xml:space="preserve"> </w:t>
            </w:r>
            <w:r w:rsidR="00284410" w:rsidRPr="00284410">
              <w:rPr>
                <w:rFonts w:ascii="Palatino Linotype" w:hAnsi="Palatino Linotype"/>
                <w:sz w:val="22"/>
                <w:szCs w:val="22"/>
              </w:rPr>
              <w:t xml:space="preserve">Taking cognizance of the submissions of the Respondents and in exercise of the powers conferred under aforesaid provisions of the Ordinance, I, hereby impose penalty of </w:t>
            </w:r>
            <w:r w:rsidR="00284410" w:rsidRPr="00284410">
              <w:rPr>
                <w:rFonts w:ascii="Palatino Linotype" w:hAnsi="Palatino Linotype"/>
                <w:b/>
                <w:sz w:val="22"/>
                <w:szCs w:val="22"/>
              </w:rPr>
              <w:t>Rs. 70,000/- (Rupees seventy thousand)</w:t>
            </w:r>
            <w:r w:rsidR="00284410" w:rsidRPr="00284410">
              <w:rPr>
                <w:rFonts w:ascii="Palatino Linotype" w:hAnsi="Palatino Linotype"/>
                <w:sz w:val="22"/>
                <w:szCs w:val="22"/>
              </w:rPr>
              <w:t xml:space="preserve"> on the Chief Executive of the Company.</w:t>
            </w:r>
            <w:r w:rsidR="00284410" w:rsidRPr="00284410">
              <w:rPr>
                <w:rFonts w:ascii="Palatino Linotype" w:hAnsi="Palatino Linotype"/>
                <w:sz w:val="20"/>
                <w:szCs w:val="20"/>
              </w:rPr>
              <w:t xml:space="preserve"> </w:t>
            </w:r>
          </w:p>
          <w:p w:rsidR="007F33F3" w:rsidRPr="00284410" w:rsidRDefault="007F33F3" w:rsidP="0008192F">
            <w:pPr>
              <w:widowControl w:val="0"/>
              <w:autoSpaceDE w:val="0"/>
              <w:autoSpaceDN w:val="0"/>
              <w:adjustRightInd w:val="0"/>
              <w:jc w:val="both"/>
              <w:rPr>
                <w:rFonts w:ascii="Palatino Linotype" w:hAnsi="Palatino Linotype"/>
                <w:i/>
                <w:sz w:val="20"/>
                <w:szCs w:val="20"/>
              </w:rPr>
            </w:pPr>
            <w:r w:rsidRPr="00284410">
              <w:rPr>
                <w:rFonts w:ascii="Palatino Linotype" w:hAnsi="Palatino Linotype"/>
                <w:sz w:val="22"/>
                <w:szCs w:val="22"/>
              </w:rPr>
              <w:t xml:space="preserve"> </w:t>
            </w:r>
          </w:p>
          <w:p w:rsidR="007F33F3" w:rsidRPr="00284410" w:rsidRDefault="007F33F3" w:rsidP="00991511">
            <w:pPr>
              <w:pStyle w:val="BodyText"/>
              <w:spacing w:after="0" w:line="276" w:lineRule="auto"/>
              <w:jc w:val="both"/>
              <w:rPr>
                <w:rFonts w:ascii="Palatino Linotype" w:hAnsi="Palatino Linotype" w:cs="Times New Roman"/>
                <w:sz w:val="22"/>
                <w:szCs w:val="22"/>
              </w:rPr>
            </w:pPr>
            <w:r w:rsidRPr="00284410">
              <w:rPr>
                <w:rFonts w:ascii="Palatino Linotype" w:hAnsi="Palatino Linotype"/>
                <w:sz w:val="22"/>
                <w:szCs w:val="22"/>
              </w:rPr>
              <w:t xml:space="preserve">Nothing in this Order may be deemed to prejudice the operation of any provision of the Act providing for imposition of penalties in respect of any default, omission or violation of the Act. </w:t>
            </w:r>
          </w:p>
          <w:p w:rsidR="007F33F3" w:rsidRPr="00284410" w:rsidRDefault="007F33F3" w:rsidP="00991511">
            <w:pPr>
              <w:pStyle w:val="Bodytext20"/>
              <w:shd w:val="clear" w:color="auto" w:fill="auto"/>
              <w:tabs>
                <w:tab w:val="left" w:pos="771"/>
              </w:tabs>
              <w:spacing w:before="0" w:after="0" w:line="259" w:lineRule="exact"/>
              <w:rPr>
                <w:rFonts w:ascii="Palatino Linotype" w:hAnsi="Palatino Linotype"/>
                <w:sz w:val="22"/>
                <w:szCs w:val="22"/>
              </w:rPr>
            </w:pPr>
          </w:p>
        </w:tc>
      </w:tr>
      <w:tr w:rsidR="007F33F3" w:rsidRPr="00284410" w:rsidTr="00991511">
        <w:tc>
          <w:tcPr>
            <w:tcW w:w="2605" w:type="dxa"/>
          </w:tcPr>
          <w:p w:rsidR="007F33F3" w:rsidRPr="00284410" w:rsidRDefault="007F33F3" w:rsidP="007F33F3">
            <w:pPr>
              <w:pStyle w:val="NoSpacing"/>
              <w:numPr>
                <w:ilvl w:val="0"/>
                <w:numId w:val="1"/>
              </w:numPr>
              <w:ind w:left="340"/>
              <w:rPr>
                <w:rFonts w:ascii="Palatino Linotype" w:hAnsi="Palatino Linotype"/>
                <w:sz w:val="22"/>
                <w:szCs w:val="22"/>
              </w:rPr>
            </w:pPr>
            <w:r w:rsidRPr="00284410">
              <w:rPr>
                <w:rFonts w:ascii="Palatino Linotype" w:hAnsi="Palatino Linotype"/>
                <w:sz w:val="22"/>
                <w:szCs w:val="22"/>
              </w:rPr>
              <w:lastRenderedPageBreak/>
              <w:t>Penalty Imposed</w:t>
            </w:r>
          </w:p>
          <w:p w:rsidR="007F33F3" w:rsidRPr="00284410" w:rsidRDefault="007F33F3" w:rsidP="00991511">
            <w:pPr>
              <w:jc w:val="both"/>
              <w:rPr>
                <w:rFonts w:ascii="Palatino Linotype" w:hAnsi="Palatino Linotype" w:cstheme="majorBidi"/>
                <w:sz w:val="22"/>
                <w:szCs w:val="22"/>
              </w:rPr>
            </w:pPr>
          </w:p>
        </w:tc>
        <w:tc>
          <w:tcPr>
            <w:tcW w:w="6660" w:type="dxa"/>
          </w:tcPr>
          <w:p w:rsidR="007F33F3" w:rsidRPr="00284410" w:rsidRDefault="00B46F89" w:rsidP="00991511">
            <w:pPr>
              <w:jc w:val="both"/>
              <w:rPr>
                <w:rFonts w:ascii="Palatino Linotype" w:hAnsi="Palatino Linotype" w:cstheme="majorBidi"/>
                <w:sz w:val="22"/>
                <w:szCs w:val="22"/>
              </w:rPr>
            </w:pPr>
            <w:r w:rsidRPr="00284410">
              <w:rPr>
                <w:rFonts w:ascii="Palatino Linotype" w:hAnsi="Palatino Linotype" w:cstheme="majorBidi"/>
                <w:sz w:val="22"/>
                <w:szCs w:val="22"/>
              </w:rPr>
              <w:t xml:space="preserve">Penalty </w:t>
            </w:r>
            <w:r w:rsidR="00284410">
              <w:rPr>
                <w:rFonts w:ascii="Palatino Linotype" w:hAnsi="Palatino Linotype" w:cstheme="majorBidi"/>
                <w:sz w:val="22"/>
                <w:szCs w:val="22"/>
              </w:rPr>
              <w:t xml:space="preserve">of Rs. 70,000/- </w:t>
            </w:r>
            <w:r w:rsidRPr="00284410">
              <w:rPr>
                <w:rFonts w:ascii="Palatino Linotype" w:hAnsi="Palatino Linotype" w:cstheme="majorBidi"/>
                <w:sz w:val="22"/>
                <w:szCs w:val="22"/>
              </w:rPr>
              <w:t>was imposed on Chief Executive Officer of the company and remaining respondents were warned to ensure compliance of law in future.</w:t>
            </w:r>
          </w:p>
        </w:tc>
      </w:tr>
      <w:tr w:rsidR="007F33F3" w:rsidRPr="00284410" w:rsidTr="00991511">
        <w:tc>
          <w:tcPr>
            <w:tcW w:w="2605" w:type="dxa"/>
          </w:tcPr>
          <w:p w:rsidR="007F33F3" w:rsidRPr="00284410" w:rsidRDefault="007F33F3" w:rsidP="007F33F3">
            <w:pPr>
              <w:pStyle w:val="ListParagraph"/>
              <w:numPr>
                <w:ilvl w:val="0"/>
                <w:numId w:val="1"/>
              </w:numPr>
              <w:ind w:left="334"/>
              <w:jc w:val="both"/>
              <w:rPr>
                <w:rFonts w:ascii="Palatino Linotype" w:hAnsi="Palatino Linotype" w:cstheme="majorBidi"/>
                <w:sz w:val="22"/>
                <w:szCs w:val="22"/>
              </w:rPr>
            </w:pPr>
            <w:r w:rsidRPr="00284410">
              <w:rPr>
                <w:rFonts w:ascii="Palatino Linotype" w:hAnsi="Palatino Linotype"/>
                <w:sz w:val="22"/>
                <w:szCs w:val="22"/>
              </w:rPr>
              <w:t>Current Status of Order</w:t>
            </w:r>
          </w:p>
        </w:tc>
        <w:tc>
          <w:tcPr>
            <w:tcW w:w="6660" w:type="dxa"/>
          </w:tcPr>
          <w:p w:rsidR="007F33F3" w:rsidRPr="00284410" w:rsidRDefault="00284410" w:rsidP="00991511">
            <w:pPr>
              <w:jc w:val="both"/>
              <w:rPr>
                <w:rFonts w:ascii="Palatino Linotype" w:hAnsi="Palatino Linotype" w:cstheme="majorBidi"/>
                <w:sz w:val="22"/>
                <w:szCs w:val="22"/>
              </w:rPr>
            </w:pPr>
            <w:r>
              <w:rPr>
                <w:rFonts w:ascii="Palatino Linotype" w:hAnsi="Palatino Linotype" w:cstheme="majorBidi"/>
                <w:sz w:val="22"/>
                <w:szCs w:val="22"/>
              </w:rPr>
              <w:t xml:space="preserve">Penalty was deposited. </w:t>
            </w:r>
            <w:bookmarkStart w:id="0" w:name="_GoBack"/>
            <w:bookmarkEnd w:id="0"/>
            <w:r w:rsidR="007F33F3" w:rsidRPr="00284410">
              <w:rPr>
                <w:rFonts w:ascii="Palatino Linotype" w:hAnsi="Palatino Linotype" w:cstheme="majorBidi"/>
                <w:sz w:val="22"/>
                <w:szCs w:val="22"/>
              </w:rPr>
              <w:t>No Appeal has been filed by the respondents.</w:t>
            </w:r>
          </w:p>
        </w:tc>
      </w:tr>
    </w:tbl>
    <w:p w:rsidR="007F33F3" w:rsidRPr="00284410" w:rsidRDefault="007F33F3" w:rsidP="007F33F3">
      <w:pPr>
        <w:ind w:firstLine="720"/>
        <w:jc w:val="both"/>
        <w:rPr>
          <w:rFonts w:ascii="Palatino Linotype" w:hAnsi="Palatino Linotype" w:cstheme="majorBidi"/>
          <w:sz w:val="22"/>
          <w:szCs w:val="22"/>
        </w:rPr>
      </w:pPr>
    </w:p>
    <w:p w:rsidR="007F33F3" w:rsidRPr="00284410" w:rsidRDefault="007F33F3" w:rsidP="007F33F3">
      <w:pPr>
        <w:ind w:firstLine="720"/>
        <w:jc w:val="both"/>
        <w:rPr>
          <w:rFonts w:ascii="Palatino Linotype" w:hAnsi="Palatino Linotype" w:cstheme="majorBidi"/>
          <w:sz w:val="22"/>
          <w:szCs w:val="22"/>
        </w:rPr>
      </w:pPr>
    </w:p>
    <w:p w:rsidR="007F33F3" w:rsidRPr="00284410" w:rsidRDefault="007F33F3" w:rsidP="007F33F3">
      <w:pPr>
        <w:pStyle w:val="Default"/>
        <w:jc w:val="both"/>
        <w:rPr>
          <w:rFonts w:ascii="Palatino Linotype" w:hAnsi="Palatino Linotype" w:cstheme="majorBidi"/>
          <w:b/>
          <w:bCs/>
          <w:color w:val="auto"/>
          <w:sz w:val="22"/>
          <w:szCs w:val="22"/>
        </w:rPr>
      </w:pPr>
    </w:p>
    <w:p w:rsidR="00920772" w:rsidRPr="00284410" w:rsidRDefault="007F33F3" w:rsidP="007F33F3">
      <w:pPr>
        <w:rPr>
          <w:rFonts w:ascii="Palatino Linotype" w:hAnsi="Palatino Linotype"/>
        </w:rPr>
      </w:pPr>
      <w:r w:rsidRPr="00284410">
        <w:rPr>
          <w:rFonts w:ascii="Palatino Linotype" w:hAnsi="Palatino Linotype" w:cstheme="majorBidi"/>
          <w:sz w:val="22"/>
          <w:szCs w:val="22"/>
        </w:rPr>
        <w:t>Redacted version issued on _______________ for placement of website of the Commission.</w:t>
      </w:r>
    </w:p>
    <w:sectPr w:rsidR="00920772" w:rsidRPr="00284410" w:rsidSect="007F33F3">
      <w:headerReference w:type="default" r:id="rId7"/>
      <w:footerReference w:type="default" r:id="rId8"/>
      <w:pgSz w:w="11906" w:h="16838"/>
      <w:pgMar w:top="1440" w:right="1440" w:bottom="1440" w:left="1440" w:header="720" w:footer="288"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8134A" w:rsidRDefault="0088134A" w:rsidP="007F33F3">
      <w:r>
        <w:separator/>
      </w:r>
    </w:p>
  </w:endnote>
  <w:endnote w:type="continuationSeparator" w:id="0">
    <w:p w:rsidR="0088134A" w:rsidRDefault="0088134A" w:rsidP="007F33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3F3" w:rsidRDefault="007F33F3" w:rsidP="007F33F3">
    <w:pPr>
      <w:pBdr>
        <w:top w:val="single" w:sz="4" w:space="0" w:color="auto"/>
      </w:pBdr>
      <w:tabs>
        <w:tab w:val="center" w:pos="4680"/>
        <w:tab w:val="center" w:pos="4770"/>
        <w:tab w:val="right" w:pos="9360"/>
        <w:tab w:val="right" w:pos="9540"/>
      </w:tabs>
      <w:jc w:val="center"/>
      <w:rPr>
        <w:rFonts w:ascii="Times New Roman" w:eastAsia="SimSun" w:hAnsi="Times New Roman" w:cs="Times New Roman"/>
        <w:iCs/>
        <w:spacing w:val="10"/>
        <w:sz w:val="18"/>
        <w:szCs w:val="18"/>
      </w:rPr>
    </w:pPr>
  </w:p>
  <w:p w:rsidR="007F33F3" w:rsidRPr="007F33F3" w:rsidRDefault="007F33F3" w:rsidP="007F33F3">
    <w:pPr>
      <w:pBdr>
        <w:top w:val="single" w:sz="4" w:space="0" w:color="auto"/>
      </w:pBdr>
      <w:tabs>
        <w:tab w:val="center" w:pos="4680"/>
        <w:tab w:val="center" w:pos="4770"/>
        <w:tab w:val="right" w:pos="9360"/>
        <w:tab w:val="right" w:pos="9540"/>
      </w:tabs>
      <w:jc w:val="center"/>
      <w:rPr>
        <w:rFonts w:ascii="Times New Roman" w:eastAsia="SimSun" w:hAnsi="Times New Roman" w:cs="Times New Roman"/>
        <w:iCs/>
        <w:spacing w:val="10"/>
        <w:sz w:val="18"/>
        <w:szCs w:val="18"/>
      </w:rPr>
    </w:pPr>
    <w:r w:rsidRPr="007F33F3">
      <w:rPr>
        <w:rFonts w:ascii="Times New Roman" w:eastAsia="SimSun" w:hAnsi="Times New Roman" w:cs="Times New Roman"/>
        <w:iCs/>
        <w:spacing w:val="10"/>
        <w:sz w:val="18"/>
        <w:szCs w:val="18"/>
      </w:rPr>
      <w:t>NIC Building, 63-Jinnah Avenue, Blue Area, Islamabad, Pakistan</w:t>
    </w:r>
  </w:p>
  <w:p w:rsidR="007F33F3" w:rsidRPr="007F33F3" w:rsidRDefault="007F33F3" w:rsidP="007F33F3">
    <w:pPr>
      <w:tabs>
        <w:tab w:val="center" w:pos="4680"/>
        <w:tab w:val="right" w:pos="9360"/>
      </w:tabs>
      <w:jc w:val="center"/>
      <w:rPr>
        <w:rFonts w:ascii="Times New Roman" w:eastAsia="SimSun" w:hAnsi="Times New Roman" w:cs="Times New Roman"/>
        <w:iCs/>
        <w:spacing w:val="10"/>
        <w:sz w:val="18"/>
        <w:szCs w:val="18"/>
        <w:lang w:val="fr-FR"/>
      </w:rPr>
    </w:pPr>
    <w:r w:rsidRPr="007F33F3">
      <w:rPr>
        <w:rFonts w:ascii="Times New Roman" w:hAnsi="Times New Roman" w:cs="Times New Roman"/>
        <w:spacing w:val="10"/>
        <w:sz w:val="18"/>
        <w:szCs w:val="18"/>
      </w:rPr>
      <w:t>Ph: 051-9207091-4,</w:t>
    </w:r>
    <w:r w:rsidRPr="007F33F3">
      <w:rPr>
        <w:rFonts w:ascii="Times New Roman" w:eastAsia="SimSun" w:hAnsi="Times New Roman" w:cs="Times New Roman"/>
        <w:iCs/>
        <w:spacing w:val="10"/>
        <w:sz w:val="18"/>
        <w:szCs w:val="18"/>
        <w:lang w:val="fr-FR"/>
      </w:rPr>
      <w:t>Fax: 051-9100477</w:t>
    </w:r>
  </w:p>
  <w:p w:rsidR="007F33F3" w:rsidRPr="007F33F3" w:rsidRDefault="007F33F3" w:rsidP="007F33F3">
    <w:pPr>
      <w:tabs>
        <w:tab w:val="right" w:pos="9000"/>
      </w:tabs>
      <w:jc w:val="both"/>
      <w:rPr>
        <w:rFonts w:ascii="Times New Roman" w:hAnsi="Times New Roman" w:cs="Times New Roman"/>
        <w:b/>
        <w:bCs/>
        <w:sz w:val="18"/>
        <w:szCs w:val="18"/>
      </w:rPr>
    </w:pPr>
    <w:r w:rsidRPr="007F33F3">
      <w:rPr>
        <w:rFonts w:ascii="Times New Roman" w:hAnsi="Times New Roman" w:cs="Times New Roman"/>
        <w:b/>
        <w:bCs/>
        <w:sz w:val="18"/>
        <w:szCs w:val="18"/>
      </w:rPr>
      <w:tab/>
      <w:t xml:space="preserve">Page </w:t>
    </w:r>
    <w:r w:rsidRPr="007F33F3">
      <w:rPr>
        <w:rFonts w:ascii="Times New Roman" w:hAnsi="Times New Roman" w:cs="Times New Roman"/>
        <w:b/>
        <w:bCs/>
        <w:sz w:val="18"/>
        <w:szCs w:val="18"/>
      </w:rPr>
      <w:fldChar w:fldCharType="begin"/>
    </w:r>
    <w:r w:rsidRPr="007F33F3">
      <w:rPr>
        <w:rFonts w:ascii="Times New Roman" w:hAnsi="Times New Roman" w:cs="Times New Roman"/>
        <w:b/>
        <w:bCs/>
        <w:sz w:val="18"/>
        <w:szCs w:val="18"/>
      </w:rPr>
      <w:instrText xml:space="preserve"> PAGE  \* Arabic  \* MERGEFORMAT </w:instrText>
    </w:r>
    <w:r w:rsidRPr="007F33F3">
      <w:rPr>
        <w:rFonts w:ascii="Times New Roman" w:hAnsi="Times New Roman" w:cs="Times New Roman"/>
        <w:b/>
        <w:bCs/>
        <w:sz w:val="18"/>
        <w:szCs w:val="18"/>
      </w:rPr>
      <w:fldChar w:fldCharType="separate"/>
    </w:r>
    <w:r w:rsidR="00284410">
      <w:rPr>
        <w:rFonts w:ascii="Times New Roman" w:hAnsi="Times New Roman" w:cs="Times New Roman"/>
        <w:b/>
        <w:bCs/>
        <w:noProof/>
        <w:sz w:val="18"/>
        <w:szCs w:val="18"/>
      </w:rPr>
      <w:t>2</w:t>
    </w:r>
    <w:r w:rsidRPr="007F33F3">
      <w:rPr>
        <w:rFonts w:ascii="Times New Roman" w:hAnsi="Times New Roman" w:cs="Times New Roman"/>
        <w:b/>
        <w:bCs/>
        <w:sz w:val="18"/>
        <w:szCs w:val="18"/>
      </w:rPr>
      <w:fldChar w:fldCharType="end"/>
    </w:r>
    <w:r w:rsidRPr="007F33F3">
      <w:rPr>
        <w:rFonts w:ascii="Times New Roman" w:hAnsi="Times New Roman" w:cs="Times New Roman"/>
        <w:b/>
        <w:bCs/>
        <w:sz w:val="18"/>
        <w:szCs w:val="18"/>
      </w:rPr>
      <w:t xml:space="preserve"> of </w:t>
    </w:r>
    <w:r>
      <w:rPr>
        <w:rFonts w:ascii="Times New Roman" w:hAnsi="Times New Roman" w:cs="Times New Roman"/>
        <w:b/>
        <w:bCs/>
        <w:sz w:val="18"/>
        <w:szCs w:val="18"/>
      </w:rPr>
      <w:t>2</w:t>
    </w:r>
  </w:p>
  <w:p w:rsidR="007F33F3" w:rsidRDefault="007F33F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8134A" w:rsidRDefault="0088134A" w:rsidP="007F33F3">
      <w:r>
        <w:separator/>
      </w:r>
    </w:p>
  </w:footnote>
  <w:footnote w:type="continuationSeparator" w:id="0">
    <w:p w:rsidR="0088134A" w:rsidRDefault="0088134A" w:rsidP="007F33F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F33F3" w:rsidRDefault="007F33F3" w:rsidP="007F33F3">
    <w:pPr>
      <w:ind w:left="720"/>
      <w:jc w:val="center"/>
      <w:rPr>
        <w:rFonts w:asciiTheme="majorBidi" w:hAnsiTheme="majorBidi" w:cstheme="majorBidi"/>
        <w:b/>
        <w:color w:val="116C65"/>
        <w:sz w:val="34"/>
        <w:szCs w:val="34"/>
      </w:rPr>
    </w:pPr>
    <w:r>
      <w:rPr>
        <w:noProof/>
      </w:rPr>
      <w:drawing>
        <wp:anchor distT="0" distB="0" distL="114300" distR="114300" simplePos="0" relativeHeight="251659264" behindDoc="1" locked="0" layoutInCell="1" allowOverlap="1" wp14:anchorId="14293031" wp14:editId="0B2A8CAA">
          <wp:simplePos x="0" y="0"/>
          <wp:positionH relativeFrom="margin">
            <wp:align>left</wp:align>
          </wp:positionH>
          <wp:positionV relativeFrom="paragraph">
            <wp:posOffset>-268605</wp:posOffset>
          </wp:positionV>
          <wp:extent cx="735330" cy="799465"/>
          <wp:effectExtent l="0" t="0" r="7620" b="63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lum contrast="10000"/>
                    <a:extLst>
                      <a:ext uri="{28A0092B-C50C-407E-A947-70E740481C1C}">
                        <a14:useLocalDpi xmlns:a14="http://schemas.microsoft.com/office/drawing/2010/main" val="0"/>
                      </a:ext>
                    </a:extLst>
                  </a:blip>
                  <a:srcRect/>
                  <a:stretch>
                    <a:fillRect/>
                  </a:stretch>
                </pic:blipFill>
                <pic:spPr bwMode="auto">
                  <a:xfrm>
                    <a:off x="0" y="0"/>
                    <a:ext cx="735330" cy="799465"/>
                  </a:xfrm>
                  <a:prstGeom prst="rect">
                    <a:avLst/>
                  </a:prstGeom>
                  <a:noFill/>
                </pic:spPr>
              </pic:pic>
            </a:graphicData>
          </a:graphic>
        </wp:anchor>
      </w:drawing>
    </w:r>
    <w:r>
      <w:rPr>
        <w:rFonts w:asciiTheme="majorBidi" w:hAnsiTheme="majorBidi" w:cstheme="majorBidi"/>
        <w:b/>
        <w:color w:val="116C65"/>
        <w:sz w:val="34"/>
        <w:szCs w:val="34"/>
      </w:rPr>
      <w:t>Securities and Exchange Commission of Pakistan</w:t>
    </w:r>
  </w:p>
  <w:p w:rsidR="007F33F3" w:rsidRDefault="007F33F3" w:rsidP="007F33F3">
    <w:pPr>
      <w:ind w:left="720"/>
      <w:jc w:val="center"/>
      <w:rPr>
        <w:rFonts w:asciiTheme="majorBidi" w:hAnsiTheme="majorBidi" w:cstheme="majorBidi"/>
        <w:b/>
        <w:color w:val="116C65"/>
      </w:rPr>
    </w:pPr>
    <w:r>
      <w:rPr>
        <w:rFonts w:asciiTheme="majorBidi" w:hAnsiTheme="majorBidi" w:cstheme="majorBidi"/>
        <w:b/>
        <w:color w:val="116C65"/>
      </w:rPr>
      <w:t>Adjudication Division</w:t>
    </w:r>
  </w:p>
  <w:p w:rsidR="007F33F3" w:rsidRDefault="007F33F3" w:rsidP="007F33F3">
    <w:pPr>
      <w:ind w:left="720"/>
      <w:jc w:val="center"/>
      <w:rPr>
        <w:rFonts w:asciiTheme="majorBidi" w:hAnsiTheme="majorBidi" w:cstheme="majorBidi"/>
        <w:b/>
        <w:color w:val="116C65"/>
      </w:rPr>
    </w:pPr>
    <w:r>
      <w:rPr>
        <w:rFonts w:asciiTheme="majorBidi" w:hAnsiTheme="majorBidi" w:cstheme="majorBidi"/>
        <w:b/>
        <w:color w:val="116C65"/>
      </w:rPr>
      <w:t>Adjudication Department-I</w:t>
    </w:r>
  </w:p>
  <w:p w:rsidR="007F33F3" w:rsidRDefault="007F33F3" w:rsidP="007F33F3">
    <w:pPr>
      <w:pStyle w:val="Header"/>
    </w:pPr>
  </w:p>
  <w:p w:rsidR="007F33F3" w:rsidRDefault="007F33F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7465D8E"/>
    <w:multiLevelType w:val="hybridMultilevel"/>
    <w:tmpl w:val="0B9EECCE"/>
    <w:lvl w:ilvl="0" w:tplc="8382B69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F075F26"/>
    <w:multiLevelType w:val="hybridMultilevel"/>
    <w:tmpl w:val="20C2124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isplayBackgroundShape/>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33F3"/>
    <w:rsid w:val="0008192F"/>
    <w:rsid w:val="000B28E0"/>
    <w:rsid w:val="000D3950"/>
    <w:rsid w:val="00184A52"/>
    <w:rsid w:val="00215415"/>
    <w:rsid w:val="00284410"/>
    <w:rsid w:val="00360362"/>
    <w:rsid w:val="003C01AF"/>
    <w:rsid w:val="004A0CC6"/>
    <w:rsid w:val="004A4F88"/>
    <w:rsid w:val="004D2778"/>
    <w:rsid w:val="00505C09"/>
    <w:rsid w:val="005E6EAA"/>
    <w:rsid w:val="00600F0B"/>
    <w:rsid w:val="00630169"/>
    <w:rsid w:val="0066173F"/>
    <w:rsid w:val="007C4AC0"/>
    <w:rsid w:val="007F33F3"/>
    <w:rsid w:val="0088134A"/>
    <w:rsid w:val="00897D6C"/>
    <w:rsid w:val="00920772"/>
    <w:rsid w:val="00A04BAF"/>
    <w:rsid w:val="00A05CCA"/>
    <w:rsid w:val="00B46F89"/>
    <w:rsid w:val="00C45B86"/>
    <w:rsid w:val="00C45FF5"/>
    <w:rsid w:val="00D07145"/>
    <w:rsid w:val="00DC07AA"/>
    <w:rsid w:val="00E814B1"/>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shapeDefaults>
    <o:shapedefaults v:ext="edit" spidmax="1026">
      <o:colormru v:ext="edit" colors="#6ff,#b9edfd,#d6f4fe,#d7fdef,#d7f7fd,#d7fdf6,#def9fe"/>
    </o:shapedefaults>
    <o:shapelayout v:ext="edit">
      <o:idmap v:ext="edit" data="1"/>
    </o:shapelayout>
  </w:shapeDefaults>
  <w:decimalSymbol w:val="."/>
  <w:listSeparator w:val=","/>
  <w14:docId w14:val="4D657CA5"/>
  <w15:chartTrackingRefBased/>
  <w15:docId w15:val="{37D54AA8-0148-4F83-86F8-B7F5B5D46F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F33F3"/>
    <w:pPr>
      <w:spacing w:after="0" w:line="240" w:lineRule="auto"/>
    </w:pPr>
    <w:rPr>
      <w:rFonts w:ascii="Arial" w:eastAsia="Times New Roman" w:hAnsi="Arial" w:cs="Arial"/>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F33F3"/>
    <w:pPr>
      <w:spacing w:after="0" w:line="240" w:lineRule="auto"/>
    </w:pPr>
    <w:rPr>
      <w:rFonts w:eastAsiaTheme="minorEastAsia"/>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7F33F3"/>
    <w:pPr>
      <w:ind w:left="720"/>
      <w:contextualSpacing/>
    </w:pPr>
  </w:style>
  <w:style w:type="paragraph" w:customStyle="1" w:styleId="Default">
    <w:name w:val="Default"/>
    <w:rsid w:val="007F33F3"/>
    <w:pPr>
      <w:autoSpaceDE w:val="0"/>
      <w:autoSpaceDN w:val="0"/>
      <w:adjustRightInd w:val="0"/>
      <w:spacing w:after="0" w:line="240" w:lineRule="auto"/>
    </w:pPr>
    <w:rPr>
      <w:rFonts w:ascii="Calibri" w:hAnsi="Calibri" w:cs="Calibri"/>
      <w:color w:val="000000"/>
      <w:sz w:val="24"/>
      <w:szCs w:val="24"/>
      <w:lang w:val="en-US"/>
    </w:rPr>
  </w:style>
  <w:style w:type="paragraph" w:styleId="NoSpacing">
    <w:name w:val="No Spacing"/>
    <w:uiPriority w:val="1"/>
    <w:qFormat/>
    <w:rsid w:val="007F33F3"/>
    <w:pPr>
      <w:spacing w:after="0" w:line="240" w:lineRule="auto"/>
    </w:pPr>
    <w:rPr>
      <w:rFonts w:ascii="Arial" w:eastAsia="Times New Roman" w:hAnsi="Arial" w:cs="Arial"/>
      <w:sz w:val="24"/>
      <w:szCs w:val="24"/>
      <w:lang w:val="en-US"/>
    </w:rPr>
  </w:style>
  <w:style w:type="paragraph" w:styleId="BodyText">
    <w:name w:val="Body Text"/>
    <w:basedOn w:val="Normal"/>
    <w:link w:val="BodyTextChar"/>
    <w:uiPriority w:val="99"/>
    <w:semiHidden/>
    <w:unhideWhenUsed/>
    <w:rsid w:val="007F33F3"/>
    <w:pPr>
      <w:spacing w:after="120"/>
    </w:pPr>
  </w:style>
  <w:style w:type="character" w:customStyle="1" w:styleId="BodyTextChar">
    <w:name w:val="Body Text Char"/>
    <w:basedOn w:val="DefaultParagraphFont"/>
    <w:link w:val="BodyText"/>
    <w:uiPriority w:val="99"/>
    <w:semiHidden/>
    <w:rsid w:val="007F33F3"/>
    <w:rPr>
      <w:rFonts w:ascii="Arial" w:eastAsia="Times New Roman" w:hAnsi="Arial" w:cs="Arial"/>
      <w:sz w:val="24"/>
      <w:szCs w:val="24"/>
      <w:lang w:val="en-US"/>
    </w:rPr>
  </w:style>
  <w:style w:type="character" w:customStyle="1" w:styleId="ListParagraphChar">
    <w:name w:val="List Paragraph Char"/>
    <w:basedOn w:val="DefaultParagraphFont"/>
    <w:link w:val="ListParagraph"/>
    <w:uiPriority w:val="34"/>
    <w:locked/>
    <w:rsid w:val="007F33F3"/>
    <w:rPr>
      <w:rFonts w:ascii="Arial" w:eastAsia="Times New Roman" w:hAnsi="Arial" w:cs="Arial"/>
      <w:sz w:val="24"/>
      <w:szCs w:val="24"/>
      <w:lang w:val="en-US"/>
    </w:rPr>
  </w:style>
  <w:style w:type="paragraph" w:styleId="NormalWeb">
    <w:name w:val="Normal (Web)"/>
    <w:basedOn w:val="Normal"/>
    <w:unhideWhenUsed/>
    <w:rsid w:val="007F33F3"/>
    <w:rPr>
      <w:rFonts w:ascii="Times New Roman" w:hAnsi="Times New Roman" w:cs="Times New Roman"/>
    </w:rPr>
  </w:style>
  <w:style w:type="character" w:customStyle="1" w:styleId="Bodytext2">
    <w:name w:val="Body text|2_"/>
    <w:basedOn w:val="DefaultParagraphFont"/>
    <w:link w:val="Bodytext20"/>
    <w:rsid w:val="007F33F3"/>
    <w:rPr>
      <w:rFonts w:ascii="Arial" w:eastAsia="Arial" w:hAnsi="Arial" w:cs="Arial"/>
      <w:sz w:val="19"/>
      <w:szCs w:val="19"/>
      <w:shd w:val="clear" w:color="auto" w:fill="FFFFFF"/>
    </w:rPr>
  </w:style>
  <w:style w:type="paragraph" w:customStyle="1" w:styleId="Bodytext20">
    <w:name w:val="Body text|2"/>
    <w:basedOn w:val="Normal"/>
    <w:link w:val="Bodytext2"/>
    <w:rsid w:val="007F33F3"/>
    <w:pPr>
      <w:widowControl w:val="0"/>
      <w:shd w:val="clear" w:color="auto" w:fill="FFFFFF"/>
      <w:spacing w:before="280" w:after="280" w:line="269" w:lineRule="exact"/>
      <w:jc w:val="both"/>
    </w:pPr>
    <w:rPr>
      <w:rFonts w:eastAsia="Arial"/>
      <w:sz w:val="19"/>
      <w:szCs w:val="19"/>
      <w:lang/>
    </w:rPr>
  </w:style>
  <w:style w:type="paragraph" w:styleId="Header">
    <w:name w:val="header"/>
    <w:basedOn w:val="Normal"/>
    <w:link w:val="HeaderChar"/>
    <w:uiPriority w:val="99"/>
    <w:unhideWhenUsed/>
    <w:rsid w:val="007F33F3"/>
    <w:pPr>
      <w:tabs>
        <w:tab w:val="center" w:pos="4513"/>
        <w:tab w:val="right" w:pos="9026"/>
      </w:tabs>
    </w:pPr>
  </w:style>
  <w:style w:type="character" w:customStyle="1" w:styleId="HeaderChar">
    <w:name w:val="Header Char"/>
    <w:basedOn w:val="DefaultParagraphFont"/>
    <w:link w:val="Header"/>
    <w:uiPriority w:val="99"/>
    <w:rsid w:val="007F33F3"/>
    <w:rPr>
      <w:rFonts w:ascii="Arial" w:eastAsia="Times New Roman" w:hAnsi="Arial" w:cs="Arial"/>
      <w:sz w:val="24"/>
      <w:szCs w:val="24"/>
      <w:lang w:val="en-US"/>
    </w:rPr>
  </w:style>
  <w:style w:type="paragraph" w:styleId="Footer">
    <w:name w:val="footer"/>
    <w:basedOn w:val="Normal"/>
    <w:link w:val="FooterChar"/>
    <w:uiPriority w:val="99"/>
    <w:unhideWhenUsed/>
    <w:rsid w:val="007F33F3"/>
    <w:pPr>
      <w:tabs>
        <w:tab w:val="center" w:pos="4513"/>
        <w:tab w:val="right" w:pos="9026"/>
      </w:tabs>
    </w:pPr>
  </w:style>
  <w:style w:type="character" w:customStyle="1" w:styleId="FooterChar">
    <w:name w:val="Footer Char"/>
    <w:basedOn w:val="DefaultParagraphFont"/>
    <w:link w:val="Footer"/>
    <w:uiPriority w:val="99"/>
    <w:rsid w:val="007F33F3"/>
    <w:rPr>
      <w:rFonts w:ascii="Arial" w:eastAsia="Times New Roman" w:hAnsi="Arial" w:cs="Arial"/>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484</Words>
  <Characters>2759</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Shahana Bano</dc:creator>
  <cp:keywords/>
  <dc:description/>
  <cp:lastModifiedBy>Muhammad Anwar Hashmi</cp:lastModifiedBy>
  <cp:revision>2</cp:revision>
  <dcterms:created xsi:type="dcterms:W3CDTF">2021-06-06T04:53:00Z</dcterms:created>
  <dcterms:modified xsi:type="dcterms:W3CDTF">2021-06-06T04:53:00Z</dcterms:modified>
</cp:coreProperties>
</file>