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D23DB7" w:rsidRPr="00D25C6C" w:rsidRDefault="00D23DB7" w:rsidP="00686444">
      <w:pPr>
        <w:jc w:val="both"/>
        <w:rPr>
          <w:rFonts w:asciiTheme="minorHAnsi" w:hAnsiTheme="minorHAnsi" w:cstheme="minorHAnsi"/>
          <w:b/>
          <w:bCs/>
          <w:sz w:val="20"/>
          <w:szCs w:val="20"/>
          <w:u w:val="single"/>
        </w:rPr>
      </w:pPr>
    </w:p>
    <w:p w:rsidR="006D78A4" w:rsidRPr="00D25C6C" w:rsidRDefault="00FD0DB6" w:rsidP="001F6C78">
      <w:pPr>
        <w:jc w:val="center"/>
        <w:rPr>
          <w:rFonts w:asciiTheme="minorHAnsi" w:hAnsiTheme="minorHAnsi" w:cstheme="minorHAnsi"/>
          <w:b/>
          <w:bCs/>
          <w:i/>
          <w:sz w:val="20"/>
          <w:szCs w:val="20"/>
          <w:u w:val="single"/>
        </w:rPr>
      </w:pPr>
      <w:r w:rsidRPr="00D25C6C">
        <w:rPr>
          <w:rFonts w:asciiTheme="minorHAnsi" w:hAnsiTheme="minorHAnsi" w:cstheme="minorHAnsi"/>
          <w:b/>
          <w:bCs/>
          <w:i/>
          <w:sz w:val="20"/>
          <w:szCs w:val="20"/>
          <w:u w:val="single"/>
        </w:rPr>
        <w:t xml:space="preserve">Before </w:t>
      </w:r>
      <w:r w:rsidR="00D677E2" w:rsidRPr="00D25C6C">
        <w:rPr>
          <w:rFonts w:asciiTheme="minorHAnsi" w:hAnsiTheme="minorHAnsi" w:cstheme="minorHAnsi"/>
          <w:b/>
          <w:bCs/>
          <w:i/>
          <w:sz w:val="20"/>
          <w:szCs w:val="20"/>
          <w:u w:val="single"/>
        </w:rPr>
        <w:t>Ali Azeem Ikram, Executive Director/HOD (Adjudication-I)</w:t>
      </w:r>
    </w:p>
    <w:p w:rsidR="00D23DB7" w:rsidRPr="00D25C6C" w:rsidRDefault="00D23DB7" w:rsidP="00686444">
      <w:pPr>
        <w:jc w:val="both"/>
        <w:rPr>
          <w:rFonts w:asciiTheme="minorHAnsi" w:hAnsiTheme="minorHAnsi" w:cstheme="minorHAnsi"/>
          <w:b/>
          <w:bCs/>
          <w:sz w:val="20"/>
          <w:szCs w:val="20"/>
          <w:u w:val="single"/>
        </w:rPr>
      </w:pPr>
    </w:p>
    <w:p w:rsidR="00284D7E" w:rsidRPr="00D25C6C" w:rsidRDefault="00284D7E" w:rsidP="001F6C78">
      <w:pPr>
        <w:jc w:val="center"/>
        <w:rPr>
          <w:rFonts w:asciiTheme="minorHAnsi" w:hAnsiTheme="minorHAnsi" w:cstheme="minorHAnsi"/>
          <w:b/>
          <w:bCs/>
          <w:sz w:val="20"/>
          <w:szCs w:val="20"/>
          <w:u w:val="single"/>
        </w:rPr>
      </w:pPr>
      <w:r w:rsidRPr="00D25C6C">
        <w:rPr>
          <w:rFonts w:asciiTheme="minorHAnsi" w:hAnsiTheme="minorHAnsi" w:cstheme="minorHAnsi"/>
          <w:b/>
          <w:bCs/>
          <w:sz w:val="20"/>
          <w:szCs w:val="20"/>
          <w:u w:val="single"/>
        </w:rPr>
        <w:t xml:space="preserve">In the matter of </w:t>
      </w:r>
      <w:r w:rsidR="00360124" w:rsidRPr="00D25C6C">
        <w:rPr>
          <w:rFonts w:asciiTheme="minorHAnsi" w:hAnsiTheme="minorHAnsi" w:cstheme="minorHAnsi"/>
          <w:b/>
          <w:bCs/>
          <w:sz w:val="20"/>
          <w:szCs w:val="20"/>
          <w:u w:val="single"/>
        </w:rPr>
        <w:t xml:space="preserve">Show Cause </w:t>
      </w:r>
      <w:r w:rsidRPr="00D25C6C">
        <w:rPr>
          <w:rFonts w:asciiTheme="minorHAnsi" w:hAnsiTheme="minorHAnsi" w:cstheme="minorHAnsi"/>
          <w:b/>
          <w:bCs/>
          <w:sz w:val="20"/>
          <w:szCs w:val="20"/>
          <w:u w:val="single"/>
        </w:rPr>
        <w:t xml:space="preserve">Notice </w:t>
      </w:r>
      <w:r w:rsidR="00360124" w:rsidRPr="00D25C6C">
        <w:rPr>
          <w:rFonts w:asciiTheme="minorHAnsi" w:hAnsiTheme="minorHAnsi" w:cstheme="minorHAnsi"/>
          <w:b/>
          <w:bCs/>
          <w:sz w:val="20"/>
          <w:szCs w:val="20"/>
          <w:u w:val="single"/>
        </w:rPr>
        <w:t xml:space="preserve">issued to </w:t>
      </w:r>
      <w:r w:rsidR="00597F88" w:rsidRPr="00D25C6C">
        <w:rPr>
          <w:rFonts w:asciiTheme="minorHAnsi" w:hAnsiTheme="minorHAnsi" w:cstheme="minorHAnsi"/>
          <w:b/>
          <w:bCs/>
          <w:sz w:val="20"/>
          <w:szCs w:val="20"/>
          <w:u w:val="single"/>
        </w:rPr>
        <w:t>State Life Insurance Corporation of Pakistan</w:t>
      </w:r>
    </w:p>
    <w:p w:rsidR="00264C6F" w:rsidRPr="00D25C6C" w:rsidRDefault="00264C6F" w:rsidP="00686444">
      <w:pPr>
        <w:jc w:val="both"/>
        <w:rPr>
          <w:rFonts w:asciiTheme="minorHAnsi" w:hAnsiTheme="minorHAnsi" w:cstheme="minorHAnsi"/>
          <w:b/>
          <w:bCs/>
          <w:sz w:val="20"/>
          <w:szCs w:val="20"/>
          <w:u w:val="single"/>
        </w:rPr>
      </w:pPr>
    </w:p>
    <w:tbl>
      <w:tblPr>
        <w:tblStyle w:val="TableGrid"/>
        <w:tblW w:w="9090" w:type="dxa"/>
        <w:tblBorders>
          <w:left w:val="none" w:sz="0" w:space="0" w:color="auto"/>
          <w:right w:val="none" w:sz="0" w:space="0" w:color="auto"/>
          <w:insideV w:val="none" w:sz="0" w:space="0" w:color="auto"/>
        </w:tblBorders>
        <w:tblLook w:val="04A0" w:firstRow="1" w:lastRow="0" w:firstColumn="1" w:lastColumn="0" w:noHBand="0" w:noVBand="1"/>
      </w:tblPr>
      <w:tblGrid>
        <w:gridCol w:w="4590"/>
        <w:gridCol w:w="4500"/>
      </w:tblGrid>
      <w:tr w:rsidR="008E358E" w:rsidRPr="00D25C6C" w:rsidTr="00144B63">
        <w:trPr>
          <w:trHeight w:hRule="exact" w:val="576"/>
        </w:trPr>
        <w:tc>
          <w:tcPr>
            <w:tcW w:w="4590" w:type="dxa"/>
            <w:tcBorders>
              <w:bottom w:val="single" w:sz="4" w:space="0" w:color="auto"/>
            </w:tcBorders>
            <w:vAlign w:val="center"/>
          </w:tcPr>
          <w:p w:rsidR="0019228D" w:rsidRPr="00D25C6C" w:rsidRDefault="0019228D" w:rsidP="00686444">
            <w:pPr>
              <w:tabs>
                <w:tab w:val="left" w:pos="9450"/>
              </w:tabs>
              <w:ind w:right="75"/>
              <w:jc w:val="both"/>
              <w:outlineLvl w:val="0"/>
              <w:rPr>
                <w:rFonts w:asciiTheme="minorHAnsi" w:hAnsiTheme="minorHAnsi" w:cstheme="minorHAnsi"/>
                <w:bCs/>
                <w:sz w:val="20"/>
                <w:szCs w:val="20"/>
              </w:rPr>
            </w:pPr>
            <w:r w:rsidRPr="00D25C6C">
              <w:rPr>
                <w:rFonts w:asciiTheme="minorHAnsi" w:hAnsiTheme="minorHAnsi" w:cstheme="minorHAnsi"/>
                <w:bCs/>
                <w:sz w:val="20"/>
                <w:szCs w:val="20"/>
              </w:rPr>
              <w:t>Date of Hearing</w:t>
            </w:r>
          </w:p>
        </w:tc>
        <w:tc>
          <w:tcPr>
            <w:tcW w:w="4500" w:type="dxa"/>
            <w:tcBorders>
              <w:bottom w:val="single" w:sz="4" w:space="0" w:color="auto"/>
            </w:tcBorders>
            <w:vAlign w:val="center"/>
          </w:tcPr>
          <w:p w:rsidR="0019228D" w:rsidRPr="00D25C6C" w:rsidRDefault="004D24C3" w:rsidP="0092127F">
            <w:pPr>
              <w:tabs>
                <w:tab w:val="left" w:pos="9450"/>
              </w:tabs>
              <w:ind w:left="-13" w:right="29"/>
              <w:jc w:val="both"/>
              <w:outlineLvl w:val="0"/>
              <w:rPr>
                <w:rFonts w:asciiTheme="minorHAnsi" w:hAnsiTheme="minorHAnsi" w:cstheme="minorHAnsi"/>
                <w:bCs/>
                <w:sz w:val="20"/>
                <w:szCs w:val="20"/>
              </w:rPr>
            </w:pPr>
            <w:r w:rsidRPr="00D25C6C">
              <w:rPr>
                <w:rFonts w:asciiTheme="minorHAnsi" w:hAnsiTheme="minorHAnsi" w:cstheme="minorHAnsi"/>
                <w:bCs/>
                <w:sz w:val="20"/>
                <w:szCs w:val="20"/>
              </w:rPr>
              <w:t>J</w:t>
            </w:r>
            <w:r w:rsidR="007D7286" w:rsidRPr="00D25C6C">
              <w:rPr>
                <w:rFonts w:asciiTheme="minorHAnsi" w:hAnsiTheme="minorHAnsi" w:cstheme="minorHAnsi"/>
                <w:bCs/>
                <w:sz w:val="20"/>
                <w:szCs w:val="20"/>
              </w:rPr>
              <w:t>uly 13</w:t>
            </w:r>
            <w:r w:rsidRPr="00D25C6C">
              <w:rPr>
                <w:rFonts w:asciiTheme="minorHAnsi" w:hAnsiTheme="minorHAnsi" w:cstheme="minorHAnsi"/>
                <w:bCs/>
                <w:sz w:val="20"/>
                <w:szCs w:val="20"/>
              </w:rPr>
              <w:t>,</w:t>
            </w:r>
            <w:r w:rsidR="007D7286" w:rsidRPr="00D25C6C">
              <w:rPr>
                <w:rFonts w:asciiTheme="minorHAnsi" w:hAnsiTheme="minorHAnsi" w:cstheme="minorHAnsi"/>
                <w:bCs/>
                <w:sz w:val="20"/>
                <w:szCs w:val="20"/>
              </w:rPr>
              <w:t xml:space="preserve"> </w:t>
            </w:r>
            <w:r w:rsidRPr="00D25C6C">
              <w:rPr>
                <w:rFonts w:asciiTheme="minorHAnsi" w:hAnsiTheme="minorHAnsi" w:cstheme="minorHAnsi"/>
                <w:bCs/>
                <w:sz w:val="20"/>
                <w:szCs w:val="20"/>
              </w:rPr>
              <w:t>2020</w:t>
            </w:r>
          </w:p>
        </w:tc>
      </w:tr>
    </w:tbl>
    <w:p w:rsidR="00376958" w:rsidRPr="00D25C6C" w:rsidRDefault="00376958" w:rsidP="00686444">
      <w:pPr>
        <w:jc w:val="both"/>
        <w:rPr>
          <w:rFonts w:asciiTheme="minorHAnsi" w:hAnsiTheme="minorHAnsi" w:cstheme="minorHAnsi"/>
          <w:b/>
          <w:sz w:val="20"/>
          <w:szCs w:val="20"/>
        </w:rPr>
      </w:pPr>
    </w:p>
    <w:p w:rsidR="00472FCF" w:rsidRPr="00D25C6C" w:rsidRDefault="006F0EAE" w:rsidP="00B96DEA">
      <w:pPr>
        <w:jc w:val="center"/>
        <w:rPr>
          <w:rFonts w:asciiTheme="minorHAnsi" w:hAnsiTheme="minorHAnsi" w:cstheme="minorHAnsi"/>
          <w:b/>
          <w:sz w:val="20"/>
          <w:szCs w:val="20"/>
        </w:rPr>
      </w:pPr>
      <w:r w:rsidRPr="00D25C6C">
        <w:rPr>
          <w:rFonts w:asciiTheme="minorHAnsi" w:hAnsiTheme="minorHAnsi" w:cstheme="minorHAnsi"/>
          <w:b/>
          <w:sz w:val="20"/>
          <w:szCs w:val="20"/>
        </w:rPr>
        <w:t>Order-</w:t>
      </w:r>
      <w:r w:rsidR="00677619" w:rsidRPr="00D25C6C">
        <w:rPr>
          <w:rFonts w:asciiTheme="minorHAnsi" w:hAnsiTheme="minorHAnsi" w:cstheme="minorHAnsi"/>
          <w:b/>
          <w:sz w:val="20"/>
          <w:szCs w:val="20"/>
        </w:rPr>
        <w:t>Redacted Version</w:t>
      </w:r>
    </w:p>
    <w:p w:rsidR="00D23DB7" w:rsidRPr="00D25C6C" w:rsidRDefault="00D23DB7" w:rsidP="00B96DEA">
      <w:pPr>
        <w:jc w:val="both"/>
        <w:rPr>
          <w:rFonts w:asciiTheme="minorHAnsi" w:hAnsiTheme="minorHAnsi" w:cstheme="minorHAnsi"/>
          <w:sz w:val="20"/>
          <w:szCs w:val="20"/>
          <w:u w:val="single"/>
        </w:rPr>
      </w:pPr>
    </w:p>
    <w:p w:rsidR="000E41DC" w:rsidRPr="00D25C6C" w:rsidRDefault="000E41DC" w:rsidP="00B96DEA">
      <w:pPr>
        <w:ind w:firstLine="720"/>
        <w:jc w:val="both"/>
        <w:rPr>
          <w:rFonts w:asciiTheme="minorHAnsi" w:hAnsiTheme="minorHAnsi" w:cstheme="minorHAnsi"/>
          <w:sz w:val="20"/>
          <w:szCs w:val="20"/>
        </w:rPr>
      </w:pPr>
      <w:r w:rsidRPr="00D25C6C">
        <w:rPr>
          <w:rFonts w:asciiTheme="minorHAnsi" w:hAnsiTheme="minorHAnsi" w:cstheme="minorHAnsi"/>
          <w:sz w:val="20"/>
          <w:szCs w:val="20"/>
        </w:rPr>
        <w:t xml:space="preserve">Order dated </w:t>
      </w:r>
      <w:r w:rsidR="007D7286" w:rsidRPr="00D25C6C">
        <w:rPr>
          <w:rFonts w:asciiTheme="minorHAnsi" w:hAnsiTheme="minorHAnsi" w:cstheme="minorHAnsi"/>
          <w:sz w:val="20"/>
          <w:szCs w:val="20"/>
        </w:rPr>
        <w:t>September 01</w:t>
      </w:r>
      <w:r w:rsidRPr="00D25C6C">
        <w:rPr>
          <w:rFonts w:asciiTheme="minorHAnsi" w:hAnsiTheme="minorHAnsi" w:cstheme="minorHAnsi"/>
          <w:sz w:val="20"/>
          <w:szCs w:val="20"/>
        </w:rPr>
        <w:t>, 2020 w</w:t>
      </w:r>
      <w:r w:rsidR="00D2349E" w:rsidRPr="00D25C6C">
        <w:rPr>
          <w:rFonts w:asciiTheme="minorHAnsi" w:hAnsiTheme="minorHAnsi" w:cstheme="minorHAnsi"/>
          <w:sz w:val="20"/>
          <w:szCs w:val="20"/>
        </w:rPr>
        <w:t xml:space="preserve">as passed by Executive Director/Head of Department </w:t>
      </w:r>
      <w:r w:rsidRPr="00D25C6C">
        <w:rPr>
          <w:rFonts w:asciiTheme="minorHAnsi" w:hAnsiTheme="minorHAnsi" w:cstheme="minorHAnsi"/>
          <w:sz w:val="20"/>
          <w:szCs w:val="20"/>
        </w:rPr>
        <w:t xml:space="preserve">(Adjudication-I) in the matter of </w:t>
      </w:r>
      <w:r w:rsidR="00597F88" w:rsidRPr="00D25C6C">
        <w:rPr>
          <w:rFonts w:asciiTheme="minorHAnsi" w:hAnsiTheme="minorHAnsi" w:cstheme="minorHAnsi"/>
          <w:sz w:val="20"/>
          <w:szCs w:val="20"/>
        </w:rPr>
        <w:t>State Life Insurance Corporation of Pakistan</w:t>
      </w:r>
      <w:r w:rsidRPr="00D25C6C">
        <w:rPr>
          <w:rFonts w:asciiTheme="minorHAnsi" w:hAnsiTheme="minorHAnsi" w:cstheme="minorHAnsi"/>
          <w:sz w:val="20"/>
          <w:szCs w:val="20"/>
        </w:rPr>
        <w:t>. Relevant details are given as hereunder:</w:t>
      </w:r>
    </w:p>
    <w:p w:rsidR="000E41DC" w:rsidRPr="00D25C6C" w:rsidRDefault="000E41DC" w:rsidP="00B96DEA">
      <w:pPr>
        <w:ind w:firstLine="720"/>
        <w:jc w:val="both"/>
        <w:rPr>
          <w:rFonts w:asciiTheme="minorHAnsi" w:hAnsiTheme="minorHAnsi" w:cstheme="minorHAnsi"/>
          <w:sz w:val="20"/>
          <w:szCs w:val="20"/>
        </w:rPr>
      </w:pPr>
    </w:p>
    <w:tbl>
      <w:tblPr>
        <w:tblStyle w:val="TableGrid"/>
        <w:tblW w:w="9715" w:type="dxa"/>
        <w:tblLook w:val="04A0" w:firstRow="1" w:lastRow="0" w:firstColumn="1" w:lastColumn="0" w:noHBand="0" w:noVBand="1"/>
      </w:tblPr>
      <w:tblGrid>
        <w:gridCol w:w="2605"/>
        <w:gridCol w:w="7110"/>
      </w:tblGrid>
      <w:tr w:rsidR="000E41DC" w:rsidRPr="00D25C6C" w:rsidTr="00752904">
        <w:tc>
          <w:tcPr>
            <w:tcW w:w="2605" w:type="dxa"/>
          </w:tcPr>
          <w:p w:rsidR="000E41DC" w:rsidRPr="00D25C6C" w:rsidRDefault="000E41DC" w:rsidP="007D3A93">
            <w:pPr>
              <w:jc w:val="center"/>
              <w:rPr>
                <w:rFonts w:asciiTheme="minorHAnsi" w:hAnsiTheme="minorHAnsi" w:cstheme="minorHAnsi"/>
                <w:b/>
                <w:sz w:val="20"/>
                <w:szCs w:val="20"/>
              </w:rPr>
            </w:pPr>
            <w:r w:rsidRPr="00D25C6C">
              <w:rPr>
                <w:rFonts w:asciiTheme="minorHAnsi" w:hAnsiTheme="minorHAnsi" w:cstheme="minorHAnsi"/>
                <w:b/>
                <w:sz w:val="20"/>
                <w:szCs w:val="20"/>
              </w:rPr>
              <w:t>Nature</w:t>
            </w:r>
          </w:p>
        </w:tc>
        <w:tc>
          <w:tcPr>
            <w:tcW w:w="7110" w:type="dxa"/>
          </w:tcPr>
          <w:p w:rsidR="000E41DC" w:rsidRPr="00D25C6C" w:rsidRDefault="000E41DC" w:rsidP="007D3A93">
            <w:pPr>
              <w:jc w:val="center"/>
              <w:rPr>
                <w:rFonts w:asciiTheme="minorHAnsi" w:hAnsiTheme="minorHAnsi" w:cstheme="minorHAnsi"/>
                <w:b/>
                <w:sz w:val="20"/>
                <w:szCs w:val="20"/>
              </w:rPr>
            </w:pPr>
            <w:r w:rsidRPr="00D25C6C">
              <w:rPr>
                <w:rFonts w:asciiTheme="minorHAnsi" w:hAnsiTheme="minorHAnsi" w:cstheme="minorHAnsi"/>
                <w:b/>
                <w:sz w:val="20"/>
                <w:szCs w:val="20"/>
              </w:rPr>
              <w:t>Details</w:t>
            </w:r>
          </w:p>
        </w:tc>
      </w:tr>
      <w:tr w:rsidR="000E41DC" w:rsidRPr="00D25C6C" w:rsidTr="00752904">
        <w:tc>
          <w:tcPr>
            <w:tcW w:w="2605" w:type="dxa"/>
          </w:tcPr>
          <w:p w:rsidR="000E41DC" w:rsidRPr="00D25C6C" w:rsidRDefault="000E41DC" w:rsidP="000E41DC">
            <w:pPr>
              <w:pStyle w:val="NoSpacing"/>
              <w:numPr>
                <w:ilvl w:val="0"/>
                <w:numId w:val="15"/>
              </w:numPr>
              <w:ind w:left="334" w:hanging="334"/>
              <w:rPr>
                <w:rFonts w:asciiTheme="minorHAnsi" w:hAnsiTheme="minorHAnsi" w:cstheme="minorHAnsi"/>
                <w:sz w:val="20"/>
                <w:szCs w:val="20"/>
              </w:rPr>
            </w:pPr>
            <w:r w:rsidRPr="00D25C6C">
              <w:rPr>
                <w:rFonts w:asciiTheme="minorHAnsi" w:hAnsiTheme="minorHAnsi" w:cstheme="minorHAnsi"/>
                <w:sz w:val="20"/>
                <w:szCs w:val="20"/>
              </w:rPr>
              <w:t>Date of Action</w:t>
            </w:r>
          </w:p>
          <w:p w:rsidR="000E41DC" w:rsidRPr="00D25C6C" w:rsidRDefault="000E41DC" w:rsidP="00B96DEA">
            <w:pPr>
              <w:jc w:val="both"/>
              <w:rPr>
                <w:rFonts w:asciiTheme="minorHAnsi" w:hAnsiTheme="minorHAnsi" w:cstheme="minorHAnsi"/>
                <w:sz w:val="20"/>
                <w:szCs w:val="20"/>
              </w:rPr>
            </w:pPr>
          </w:p>
        </w:tc>
        <w:tc>
          <w:tcPr>
            <w:tcW w:w="7110" w:type="dxa"/>
          </w:tcPr>
          <w:p w:rsidR="000E41DC" w:rsidRPr="00D25C6C" w:rsidRDefault="000E41DC" w:rsidP="00E03F7F">
            <w:pPr>
              <w:jc w:val="both"/>
              <w:rPr>
                <w:rFonts w:asciiTheme="minorHAnsi" w:hAnsiTheme="minorHAnsi" w:cstheme="minorHAnsi"/>
                <w:sz w:val="20"/>
                <w:szCs w:val="20"/>
              </w:rPr>
            </w:pPr>
            <w:r w:rsidRPr="00D25C6C">
              <w:rPr>
                <w:rFonts w:asciiTheme="minorHAnsi" w:hAnsiTheme="minorHAnsi" w:cstheme="minorHAnsi"/>
                <w:sz w:val="20"/>
                <w:szCs w:val="20"/>
              </w:rPr>
              <w:t xml:space="preserve">Show </w:t>
            </w:r>
            <w:r w:rsidR="007C3E9E" w:rsidRPr="00D25C6C">
              <w:rPr>
                <w:rFonts w:asciiTheme="minorHAnsi" w:hAnsiTheme="minorHAnsi" w:cstheme="minorHAnsi"/>
                <w:sz w:val="20"/>
                <w:szCs w:val="20"/>
              </w:rPr>
              <w:t>C</w:t>
            </w:r>
            <w:r w:rsidRPr="00D25C6C">
              <w:rPr>
                <w:rFonts w:asciiTheme="minorHAnsi" w:hAnsiTheme="minorHAnsi" w:cstheme="minorHAnsi"/>
                <w:sz w:val="20"/>
                <w:szCs w:val="20"/>
              </w:rPr>
              <w:t xml:space="preserve">ause notice dated </w:t>
            </w:r>
            <w:r w:rsidR="00597F88" w:rsidRPr="00D25C6C">
              <w:rPr>
                <w:rFonts w:asciiTheme="minorHAnsi" w:hAnsiTheme="minorHAnsi" w:cstheme="minorHAnsi"/>
                <w:sz w:val="20"/>
                <w:szCs w:val="20"/>
              </w:rPr>
              <w:t>January 3</w:t>
            </w:r>
            <w:r w:rsidR="004D24C3" w:rsidRPr="00D25C6C">
              <w:rPr>
                <w:rFonts w:asciiTheme="minorHAnsi" w:hAnsiTheme="minorHAnsi" w:cstheme="minorHAnsi"/>
                <w:sz w:val="20"/>
                <w:szCs w:val="20"/>
              </w:rPr>
              <w:t>,</w:t>
            </w:r>
            <w:r w:rsidR="007C3E9E" w:rsidRPr="00D25C6C">
              <w:rPr>
                <w:rFonts w:asciiTheme="minorHAnsi" w:hAnsiTheme="minorHAnsi" w:cstheme="minorHAnsi"/>
                <w:sz w:val="20"/>
                <w:szCs w:val="20"/>
              </w:rPr>
              <w:t xml:space="preserve"> </w:t>
            </w:r>
            <w:r w:rsidR="004D24C3" w:rsidRPr="00D25C6C">
              <w:rPr>
                <w:rFonts w:asciiTheme="minorHAnsi" w:hAnsiTheme="minorHAnsi" w:cstheme="minorHAnsi"/>
                <w:sz w:val="20"/>
                <w:szCs w:val="20"/>
              </w:rPr>
              <w:t>2020</w:t>
            </w:r>
          </w:p>
        </w:tc>
      </w:tr>
      <w:tr w:rsidR="000E41DC" w:rsidRPr="00D25C6C" w:rsidTr="00752904">
        <w:tc>
          <w:tcPr>
            <w:tcW w:w="2605" w:type="dxa"/>
          </w:tcPr>
          <w:p w:rsidR="000E41DC" w:rsidRPr="00D25C6C" w:rsidRDefault="000E41DC" w:rsidP="000E41DC">
            <w:pPr>
              <w:pStyle w:val="NoSpacing"/>
              <w:numPr>
                <w:ilvl w:val="0"/>
                <w:numId w:val="15"/>
              </w:numPr>
              <w:ind w:left="334" w:hanging="334"/>
              <w:rPr>
                <w:rFonts w:asciiTheme="minorHAnsi" w:hAnsiTheme="minorHAnsi" w:cstheme="minorHAnsi"/>
                <w:sz w:val="20"/>
                <w:szCs w:val="20"/>
              </w:rPr>
            </w:pPr>
            <w:r w:rsidRPr="00D25C6C">
              <w:rPr>
                <w:rFonts w:asciiTheme="minorHAnsi" w:hAnsiTheme="minorHAnsi" w:cstheme="minorHAnsi"/>
                <w:sz w:val="20"/>
                <w:szCs w:val="20"/>
              </w:rPr>
              <w:t>Name of Company</w:t>
            </w:r>
          </w:p>
          <w:p w:rsidR="000E41DC" w:rsidRPr="00D25C6C" w:rsidRDefault="000E41DC" w:rsidP="00B96DEA">
            <w:pPr>
              <w:jc w:val="both"/>
              <w:rPr>
                <w:rFonts w:asciiTheme="minorHAnsi" w:hAnsiTheme="minorHAnsi" w:cstheme="minorHAnsi"/>
                <w:sz w:val="20"/>
                <w:szCs w:val="20"/>
              </w:rPr>
            </w:pPr>
          </w:p>
        </w:tc>
        <w:tc>
          <w:tcPr>
            <w:tcW w:w="7110" w:type="dxa"/>
          </w:tcPr>
          <w:p w:rsidR="000E41DC" w:rsidRPr="00D25C6C" w:rsidRDefault="00597F88" w:rsidP="00B96DEA">
            <w:pPr>
              <w:jc w:val="both"/>
              <w:rPr>
                <w:rFonts w:asciiTheme="minorHAnsi" w:hAnsiTheme="minorHAnsi" w:cstheme="minorHAnsi"/>
                <w:sz w:val="20"/>
                <w:szCs w:val="20"/>
              </w:rPr>
            </w:pPr>
            <w:r w:rsidRPr="00D25C6C">
              <w:rPr>
                <w:rFonts w:asciiTheme="minorHAnsi" w:hAnsiTheme="minorHAnsi" w:cstheme="minorHAnsi"/>
                <w:sz w:val="20"/>
                <w:szCs w:val="20"/>
              </w:rPr>
              <w:t>State Life Insurance Corporation of Pakistan</w:t>
            </w:r>
          </w:p>
        </w:tc>
      </w:tr>
      <w:tr w:rsidR="000E41DC" w:rsidRPr="00D25C6C" w:rsidTr="00752904">
        <w:tc>
          <w:tcPr>
            <w:tcW w:w="2605" w:type="dxa"/>
          </w:tcPr>
          <w:p w:rsidR="000E41DC" w:rsidRPr="00D25C6C" w:rsidRDefault="000E41DC" w:rsidP="000E41DC">
            <w:pPr>
              <w:pStyle w:val="NoSpacing"/>
              <w:numPr>
                <w:ilvl w:val="0"/>
                <w:numId w:val="15"/>
              </w:numPr>
              <w:ind w:left="334"/>
              <w:rPr>
                <w:rFonts w:asciiTheme="minorHAnsi" w:hAnsiTheme="minorHAnsi" w:cstheme="minorHAnsi"/>
                <w:sz w:val="20"/>
                <w:szCs w:val="20"/>
              </w:rPr>
            </w:pPr>
            <w:r w:rsidRPr="00D25C6C">
              <w:rPr>
                <w:rFonts w:asciiTheme="minorHAnsi" w:hAnsiTheme="minorHAnsi" w:cstheme="minorHAnsi"/>
                <w:sz w:val="20"/>
                <w:szCs w:val="20"/>
              </w:rPr>
              <w:t>Name of Individual*</w:t>
            </w:r>
          </w:p>
          <w:p w:rsidR="000E41DC" w:rsidRPr="00D25C6C" w:rsidRDefault="000E41DC" w:rsidP="00B96DEA">
            <w:pPr>
              <w:jc w:val="both"/>
              <w:rPr>
                <w:rFonts w:asciiTheme="minorHAnsi" w:hAnsiTheme="minorHAnsi" w:cstheme="minorHAnsi"/>
                <w:sz w:val="20"/>
                <w:szCs w:val="20"/>
              </w:rPr>
            </w:pPr>
          </w:p>
        </w:tc>
        <w:tc>
          <w:tcPr>
            <w:tcW w:w="7110" w:type="dxa"/>
          </w:tcPr>
          <w:p w:rsidR="00470FAD" w:rsidRPr="00D25C6C" w:rsidRDefault="000E41DC" w:rsidP="00E03F7F">
            <w:pPr>
              <w:jc w:val="both"/>
              <w:rPr>
                <w:rFonts w:asciiTheme="minorHAnsi" w:hAnsiTheme="minorHAnsi" w:cstheme="minorHAnsi"/>
                <w:sz w:val="20"/>
                <w:szCs w:val="20"/>
              </w:rPr>
            </w:pPr>
            <w:r w:rsidRPr="00D25C6C">
              <w:rPr>
                <w:rFonts w:asciiTheme="minorHAnsi" w:hAnsiTheme="minorHAnsi" w:cstheme="minorHAnsi"/>
                <w:sz w:val="20"/>
                <w:szCs w:val="20"/>
              </w:rPr>
              <w:t xml:space="preserve">The proceedings were initiated against the Company </w:t>
            </w:r>
            <w:r w:rsidR="008E06F4">
              <w:rPr>
                <w:rFonts w:asciiTheme="minorHAnsi" w:hAnsiTheme="minorHAnsi" w:cstheme="minorHAnsi"/>
                <w:sz w:val="20"/>
                <w:szCs w:val="20"/>
              </w:rPr>
              <w:t xml:space="preserve">i.e. State Life Insurance Corporation of Pakistan </w:t>
            </w:r>
            <w:r w:rsidR="00597F88" w:rsidRPr="00D25C6C">
              <w:rPr>
                <w:rFonts w:asciiTheme="minorHAnsi" w:hAnsiTheme="minorHAnsi" w:cstheme="minorHAnsi"/>
                <w:sz w:val="20"/>
                <w:szCs w:val="20"/>
              </w:rPr>
              <w:t>and its Chief Executive</w:t>
            </w:r>
            <w:r w:rsidR="008E06F4">
              <w:rPr>
                <w:rFonts w:asciiTheme="minorHAnsi" w:hAnsiTheme="minorHAnsi" w:cstheme="minorHAnsi"/>
                <w:sz w:val="20"/>
                <w:szCs w:val="20"/>
              </w:rPr>
              <w:t>.</w:t>
            </w:r>
          </w:p>
        </w:tc>
      </w:tr>
      <w:tr w:rsidR="000E41DC" w:rsidRPr="00D25C6C" w:rsidTr="00752904">
        <w:tc>
          <w:tcPr>
            <w:tcW w:w="2605" w:type="dxa"/>
          </w:tcPr>
          <w:p w:rsidR="000E41DC" w:rsidRPr="00D25C6C" w:rsidRDefault="000E41DC" w:rsidP="00CC3C9B">
            <w:pPr>
              <w:pStyle w:val="NoSpacing"/>
              <w:numPr>
                <w:ilvl w:val="0"/>
                <w:numId w:val="15"/>
              </w:numPr>
              <w:ind w:left="334" w:hanging="334"/>
              <w:rPr>
                <w:rFonts w:asciiTheme="minorHAnsi" w:hAnsiTheme="minorHAnsi" w:cstheme="minorHAnsi"/>
                <w:sz w:val="20"/>
                <w:szCs w:val="20"/>
              </w:rPr>
            </w:pPr>
            <w:r w:rsidRPr="00D25C6C">
              <w:rPr>
                <w:rFonts w:asciiTheme="minorHAnsi" w:hAnsiTheme="minorHAnsi" w:cstheme="minorHAnsi"/>
                <w:sz w:val="20"/>
                <w:szCs w:val="20"/>
              </w:rPr>
              <w:t>Nature of Offence</w:t>
            </w:r>
          </w:p>
          <w:p w:rsidR="000E41DC" w:rsidRPr="00D25C6C" w:rsidRDefault="000E41DC" w:rsidP="00B96DEA">
            <w:pPr>
              <w:jc w:val="both"/>
              <w:rPr>
                <w:rFonts w:asciiTheme="minorHAnsi" w:hAnsiTheme="minorHAnsi" w:cstheme="minorHAnsi"/>
                <w:sz w:val="20"/>
                <w:szCs w:val="20"/>
              </w:rPr>
            </w:pPr>
          </w:p>
        </w:tc>
        <w:tc>
          <w:tcPr>
            <w:tcW w:w="7110" w:type="dxa"/>
          </w:tcPr>
          <w:p w:rsidR="0058317E" w:rsidRPr="00D25C6C" w:rsidRDefault="00E03F7F" w:rsidP="00FD12E7">
            <w:pPr>
              <w:jc w:val="both"/>
              <w:rPr>
                <w:rFonts w:asciiTheme="minorHAnsi" w:hAnsiTheme="minorHAnsi" w:cstheme="minorHAnsi"/>
                <w:sz w:val="20"/>
                <w:szCs w:val="20"/>
              </w:rPr>
            </w:pPr>
            <w:r w:rsidRPr="00D25C6C">
              <w:rPr>
                <w:rFonts w:asciiTheme="minorHAnsi" w:hAnsiTheme="minorHAnsi" w:cstheme="minorHAnsi"/>
                <w:sz w:val="20"/>
                <w:szCs w:val="20"/>
              </w:rPr>
              <w:t xml:space="preserve">Proceedings under </w:t>
            </w:r>
            <w:r w:rsidR="00597F88" w:rsidRPr="00D25C6C">
              <w:rPr>
                <w:rFonts w:asciiTheme="minorHAnsi" w:hAnsiTheme="minorHAnsi" w:cstheme="minorHAnsi"/>
                <w:iCs/>
                <w:sz w:val="20"/>
                <w:szCs w:val="20"/>
                <w:lang w:bidi="en-US"/>
              </w:rPr>
              <w:t xml:space="preserve">Regulations 3(1)(a), 3(2)(b), 4(a), (b) &amp; (d), 6(2), 6(3)(a), 6(4), 6(5a), 6(8), 9(2), 9(3), 11(2), 13(1), 20(aa), 20(a) and 20(b) </w:t>
            </w:r>
            <w:r w:rsidR="00597F88" w:rsidRPr="00D25C6C">
              <w:rPr>
                <w:rFonts w:asciiTheme="minorHAnsi" w:hAnsiTheme="minorHAnsi" w:cstheme="minorHAnsi"/>
                <w:sz w:val="20"/>
                <w:szCs w:val="20"/>
              </w:rPr>
              <w:t>of the Securities and Exchange Commission of Pakistan (Anti Money Laundering and Countering Financing of Terrorism) Regulations, 2018 read with Section 40A of the Securities and Exchange Commission of Pakistan Act, 1997 (the “Act”).</w:t>
            </w:r>
          </w:p>
        </w:tc>
      </w:tr>
      <w:tr w:rsidR="000E41DC" w:rsidRPr="00D25C6C" w:rsidTr="00752904">
        <w:tc>
          <w:tcPr>
            <w:tcW w:w="2605" w:type="dxa"/>
          </w:tcPr>
          <w:p w:rsidR="00CC3C9B" w:rsidRPr="00D25C6C" w:rsidRDefault="00CC3C9B" w:rsidP="00CC3C9B">
            <w:pPr>
              <w:pStyle w:val="NoSpacing"/>
              <w:numPr>
                <w:ilvl w:val="0"/>
                <w:numId w:val="15"/>
              </w:numPr>
              <w:ind w:left="334"/>
              <w:rPr>
                <w:rFonts w:asciiTheme="minorHAnsi" w:hAnsiTheme="minorHAnsi" w:cstheme="minorHAnsi"/>
                <w:sz w:val="20"/>
                <w:szCs w:val="20"/>
              </w:rPr>
            </w:pPr>
            <w:r w:rsidRPr="00D25C6C">
              <w:rPr>
                <w:rFonts w:asciiTheme="minorHAnsi" w:hAnsiTheme="minorHAnsi" w:cstheme="minorHAnsi"/>
                <w:sz w:val="20"/>
                <w:szCs w:val="20"/>
              </w:rPr>
              <w:t>Action Taken</w:t>
            </w:r>
          </w:p>
          <w:p w:rsidR="000E41DC" w:rsidRPr="00D25C6C" w:rsidRDefault="000E41DC" w:rsidP="00B96DEA">
            <w:pPr>
              <w:jc w:val="both"/>
              <w:rPr>
                <w:rFonts w:asciiTheme="minorHAnsi" w:hAnsiTheme="minorHAnsi" w:cstheme="minorHAnsi"/>
                <w:sz w:val="20"/>
                <w:szCs w:val="20"/>
              </w:rPr>
            </w:pPr>
          </w:p>
        </w:tc>
        <w:tc>
          <w:tcPr>
            <w:tcW w:w="7110" w:type="dxa"/>
          </w:tcPr>
          <w:p w:rsidR="007C3E9E" w:rsidRPr="00D25C6C" w:rsidRDefault="007C3E9E" w:rsidP="006C377D">
            <w:pPr>
              <w:pStyle w:val="ListParagraph"/>
              <w:ind w:left="0"/>
              <w:contextualSpacing w:val="0"/>
              <w:jc w:val="both"/>
              <w:rPr>
                <w:rFonts w:asciiTheme="minorHAnsi" w:hAnsiTheme="minorHAnsi" w:cstheme="minorHAnsi"/>
                <w:sz w:val="20"/>
                <w:szCs w:val="20"/>
              </w:rPr>
            </w:pPr>
          </w:p>
          <w:p w:rsidR="006C377D" w:rsidRPr="00D25C6C" w:rsidRDefault="006C377D" w:rsidP="006C377D">
            <w:pPr>
              <w:pStyle w:val="ListParagraph"/>
              <w:ind w:left="0"/>
              <w:contextualSpacing w:val="0"/>
              <w:jc w:val="both"/>
              <w:rPr>
                <w:rFonts w:asciiTheme="minorHAnsi" w:hAnsiTheme="minorHAnsi" w:cstheme="minorHAnsi"/>
                <w:sz w:val="20"/>
                <w:szCs w:val="20"/>
              </w:rPr>
            </w:pPr>
            <w:r w:rsidRPr="00D25C6C">
              <w:rPr>
                <w:rFonts w:asciiTheme="minorHAnsi" w:hAnsiTheme="minorHAnsi" w:cstheme="minorHAnsi"/>
                <w:sz w:val="20"/>
                <w:szCs w:val="20"/>
              </w:rPr>
              <w:t>Key findings of default of Regulations were reported in the following manner:</w:t>
            </w:r>
          </w:p>
          <w:p w:rsidR="006C377D" w:rsidRPr="00D25C6C" w:rsidRDefault="006C377D" w:rsidP="006C377D">
            <w:pPr>
              <w:pStyle w:val="ListParagraph"/>
              <w:ind w:left="0"/>
              <w:contextualSpacing w:val="0"/>
              <w:jc w:val="both"/>
              <w:rPr>
                <w:rFonts w:asciiTheme="minorHAnsi" w:hAnsiTheme="minorHAnsi" w:cstheme="minorHAnsi"/>
                <w:sz w:val="20"/>
                <w:szCs w:val="20"/>
              </w:rPr>
            </w:pPr>
          </w:p>
          <w:p w:rsidR="007C3E9E" w:rsidRPr="00D25C6C" w:rsidRDefault="007C3E9E" w:rsidP="006C377D">
            <w:pPr>
              <w:pStyle w:val="ListParagraph"/>
              <w:ind w:left="0"/>
              <w:contextualSpacing w:val="0"/>
              <w:jc w:val="both"/>
              <w:rPr>
                <w:rFonts w:asciiTheme="minorHAnsi" w:hAnsiTheme="minorHAnsi" w:cstheme="minorHAnsi"/>
                <w:sz w:val="20"/>
                <w:szCs w:val="20"/>
              </w:rPr>
            </w:pPr>
          </w:p>
          <w:p w:rsidR="00597F88" w:rsidRPr="00D25C6C" w:rsidRDefault="00597F88" w:rsidP="00597F88">
            <w:pPr>
              <w:pStyle w:val="ListParagraph"/>
              <w:ind w:left="0" w:right="-23"/>
              <w:jc w:val="both"/>
              <w:rPr>
                <w:rFonts w:asciiTheme="minorHAnsi" w:hAnsiTheme="minorHAnsi" w:cstheme="minorHAnsi"/>
                <w:sz w:val="20"/>
                <w:szCs w:val="20"/>
              </w:rPr>
            </w:pPr>
            <w:r w:rsidRPr="00D25C6C">
              <w:rPr>
                <w:rFonts w:asciiTheme="minorHAnsi" w:hAnsiTheme="minorHAnsi" w:cstheme="minorHAnsi"/>
                <w:sz w:val="20"/>
                <w:szCs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Regulations in the following instances:</w:t>
            </w:r>
          </w:p>
          <w:p w:rsidR="00597F88" w:rsidRPr="00D25C6C" w:rsidRDefault="00597F88" w:rsidP="00597F88">
            <w:pPr>
              <w:pStyle w:val="Default"/>
              <w:ind w:left="567" w:right="-23" w:hanging="567"/>
              <w:jc w:val="both"/>
              <w:rPr>
                <w:rFonts w:asciiTheme="minorHAnsi" w:hAnsiTheme="minorHAnsi" w:cstheme="minorHAnsi"/>
                <w:sz w:val="20"/>
                <w:szCs w:val="20"/>
              </w:rPr>
            </w:pPr>
          </w:p>
          <w:p w:rsidR="00597F88" w:rsidRPr="00D25C6C" w:rsidRDefault="00597F88" w:rsidP="00597F88">
            <w:pPr>
              <w:pStyle w:val="Default"/>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Though it has been submitted that the Corporation has formulated policy containing procedures and adequate internal controls to manage the business effectively and mitigate risk in respect of money laundering and terrorism financing, the Corporation has not substantiated that it has implemented its AML Policy, procedures and controls effectively. Had there been a monitoring mechanism in place at the Corporation, it would have necessitated definite enhanced measures to strengthen the existing procedures and controls to effectively manage and mitigate AML/CFT risks. Therefore, violation of Regulation 4(b) is established. </w:t>
            </w:r>
          </w:p>
          <w:p w:rsidR="00597F88" w:rsidRPr="00D25C6C" w:rsidRDefault="00597F88" w:rsidP="00597F88">
            <w:pPr>
              <w:pStyle w:val="ListParagraph"/>
              <w:numPr>
                <w:ilvl w:val="0"/>
                <w:numId w:val="9"/>
              </w:numPr>
              <w:ind w:right="-23"/>
              <w:jc w:val="both"/>
              <w:rPr>
                <w:rFonts w:asciiTheme="minorHAnsi" w:hAnsiTheme="minorHAnsi" w:cstheme="minorHAnsi"/>
                <w:sz w:val="20"/>
                <w:szCs w:val="20"/>
              </w:rPr>
            </w:pPr>
            <w:r w:rsidRPr="00D25C6C">
              <w:rPr>
                <w:rFonts w:asciiTheme="minorHAnsi" w:hAnsiTheme="minorHAnsi" w:cstheme="minorHAnsi"/>
                <w:sz w:val="20"/>
                <w:szCs w:val="20"/>
              </w:rPr>
              <w:t>The Corporation has stated that the proposals in respect of policies (0.04%) with sum assured exceeding Rs. 10 million and average annual premium exceeding Rs.</w:t>
            </w:r>
            <w:r w:rsidRPr="00D25C6C" w:rsidDel="005672D9">
              <w:rPr>
                <w:rFonts w:asciiTheme="minorHAnsi" w:hAnsiTheme="minorHAnsi" w:cstheme="minorHAnsi"/>
                <w:sz w:val="20"/>
                <w:szCs w:val="20"/>
              </w:rPr>
              <w:t xml:space="preserve"> </w:t>
            </w:r>
            <w:r w:rsidRPr="00D25C6C">
              <w:rPr>
                <w:rFonts w:asciiTheme="minorHAnsi" w:hAnsiTheme="minorHAnsi" w:cstheme="minorHAnsi"/>
                <w:sz w:val="20"/>
                <w:szCs w:val="20"/>
              </w:rPr>
              <w:t xml:space="preserve">500,000/- are evaluated and finalized at the Principal Office where data from other zones is available. This indicates that an overwhelming majority of proposals in respect of policies (exceeding 99%) below the said threshold are evaluated and finalized by zonal offices themselves. However, zonal </w:t>
            </w:r>
            <w:r w:rsidRPr="00D25C6C">
              <w:rPr>
                <w:rFonts w:asciiTheme="minorHAnsi" w:hAnsiTheme="minorHAnsi" w:cstheme="minorHAnsi"/>
                <w:sz w:val="20"/>
                <w:szCs w:val="20"/>
              </w:rPr>
              <w:lastRenderedPageBreak/>
              <w:t>offices share their policyholder’s data with the Principal Office at month-end which may allow issuance of multiple policies to a customer without the knowledge of other zones. Thus, all the relevant risk factors in relation to its customers are not being considered to identify and assess overall ML and TF risks which constitutes violation of Regulation 3(2)(b). Since zone-based underwriting is in place at the Corporation, an integrated and uniform approach does not exist to conduct the risk assessment and risk rating of customers. Policies are issued at zones without TFS screening and procedures which are reportedly carried out on monthly basis at the head office only. Admittedly, Screening Utility was not available prior to May 2020 due to which the Corporation did not have a reliable mechanism to screen its prospective policyholders against the list of proscribed persons. Under these circumstances, violation of Regulation 6(5a) read with Regulation 4(a) is established.</w:t>
            </w:r>
          </w:p>
          <w:p w:rsidR="00597F88" w:rsidRPr="00D25C6C" w:rsidRDefault="00597F88" w:rsidP="00597F88">
            <w:pPr>
              <w:pStyle w:val="ListParagraph"/>
              <w:numPr>
                <w:ilvl w:val="0"/>
                <w:numId w:val="9"/>
              </w:numPr>
              <w:ind w:right="-23"/>
              <w:jc w:val="both"/>
              <w:rPr>
                <w:rFonts w:asciiTheme="minorHAnsi" w:hAnsiTheme="minorHAnsi" w:cstheme="minorHAnsi"/>
                <w:sz w:val="20"/>
                <w:szCs w:val="20"/>
              </w:rPr>
            </w:pPr>
            <w:r w:rsidRPr="00D25C6C">
              <w:rPr>
                <w:rFonts w:asciiTheme="minorHAnsi" w:hAnsiTheme="minorHAnsi" w:cstheme="minorHAnsi"/>
                <w:sz w:val="20"/>
                <w:szCs w:val="20"/>
              </w:rPr>
              <w:t xml:space="preserve">Though it has been submitted in the Reply dated July 12, 2020 that AML/CFT Policy contains the condition regarding verification of CNIC of policy holders and others through NADRA </w:t>
            </w:r>
            <w:proofErr w:type="spellStart"/>
            <w:r w:rsidRPr="00D25C6C">
              <w:rPr>
                <w:rFonts w:asciiTheme="minorHAnsi" w:hAnsiTheme="minorHAnsi" w:cstheme="minorHAnsi"/>
                <w:sz w:val="20"/>
                <w:szCs w:val="20"/>
              </w:rPr>
              <w:t>verisys</w:t>
            </w:r>
            <w:proofErr w:type="spellEnd"/>
            <w:r w:rsidRPr="00D25C6C">
              <w:rPr>
                <w:rFonts w:asciiTheme="minorHAnsi" w:hAnsiTheme="minorHAnsi" w:cstheme="minorHAnsi"/>
                <w:sz w:val="20"/>
                <w:szCs w:val="20"/>
              </w:rPr>
              <w:t xml:space="preserve"> but NADRA </w:t>
            </w:r>
            <w:proofErr w:type="spellStart"/>
            <w:r w:rsidRPr="00D25C6C">
              <w:rPr>
                <w:rFonts w:asciiTheme="minorHAnsi" w:hAnsiTheme="minorHAnsi" w:cstheme="minorHAnsi"/>
                <w:sz w:val="20"/>
                <w:szCs w:val="20"/>
              </w:rPr>
              <w:t>verisys</w:t>
            </w:r>
            <w:proofErr w:type="spellEnd"/>
            <w:r w:rsidRPr="00D25C6C">
              <w:rPr>
                <w:rFonts w:asciiTheme="minorHAnsi" w:hAnsiTheme="minorHAnsi" w:cstheme="minorHAnsi"/>
                <w:sz w:val="20"/>
                <w:szCs w:val="20"/>
              </w:rPr>
              <w:t xml:space="preserve"> facility has been installed in Principal Office in November 2019 and deployment of NADRA </w:t>
            </w:r>
            <w:proofErr w:type="spellStart"/>
            <w:r w:rsidRPr="00D25C6C">
              <w:rPr>
                <w:rFonts w:asciiTheme="minorHAnsi" w:hAnsiTheme="minorHAnsi" w:cstheme="minorHAnsi"/>
                <w:sz w:val="20"/>
                <w:szCs w:val="20"/>
              </w:rPr>
              <w:t>verisys</w:t>
            </w:r>
            <w:proofErr w:type="spellEnd"/>
            <w:r w:rsidRPr="00D25C6C">
              <w:rPr>
                <w:rFonts w:asciiTheme="minorHAnsi" w:hAnsiTheme="minorHAnsi" w:cstheme="minorHAnsi"/>
                <w:sz w:val="20"/>
                <w:szCs w:val="20"/>
              </w:rPr>
              <w:t xml:space="preserve"> system in Zones have not been carried out. This state of affairs indicates that policies are being issued by zones without verification of CNICs of customers and/or their beneficial owners, and nominees, etc. Moreover, it has been stated that a large number of customers belong to rural and semi-rural areas where formal documentation of source of income and net worth is scarce. Therefore, the Corporation did not ensure implementation of the policies, procedures and controls to effectively manage and mitigate its ML and TF risks. As admitted in the reply, the afore-mentioned deficiencies were part of the findings of AML Audit Reports of 9 zones. However, AML audit of 24 zones was not conducted which raises serious concerns about effectiveness of the audit function of the Corporation. Therefore, violations of Regulation </w:t>
            </w:r>
            <w:bookmarkStart w:id="0" w:name="_Hlk49856833"/>
            <w:r w:rsidRPr="00D25C6C">
              <w:rPr>
                <w:rFonts w:asciiTheme="minorHAnsi" w:hAnsiTheme="minorHAnsi" w:cstheme="minorHAnsi"/>
                <w:sz w:val="20"/>
                <w:szCs w:val="20"/>
              </w:rPr>
              <w:t xml:space="preserve">4(a) and (d) </w:t>
            </w:r>
            <w:bookmarkEnd w:id="0"/>
            <w:r w:rsidRPr="00D25C6C">
              <w:rPr>
                <w:rFonts w:asciiTheme="minorHAnsi" w:hAnsiTheme="minorHAnsi" w:cstheme="minorHAnsi"/>
                <w:sz w:val="20"/>
                <w:szCs w:val="20"/>
              </w:rPr>
              <w:t>are established.</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Regarding failure in conducting employee due diligence procedures in respect of hiring 5 agents (Sales Representatives and Sales Managers) engaged at Karachi Central Zone, it has been stated that the Corporation has made subsequent compliance with the requirements of the Regulations in respect of the specified agents. It has been further added that the Corporation has already in place the policy for recruitment of commission-based agents to ensure their clear history. However, failure in adopting the screening procedures and implementing due diligence policy prior to hiring of the agents indicates that there is no proper mechanism in place to check the history and background of agents/employees before hiring them by the Corporation, which constitutes violations of Regulation </w:t>
            </w:r>
            <w:bookmarkStart w:id="1" w:name="_Hlk49856851"/>
            <w:r w:rsidRPr="00D25C6C">
              <w:rPr>
                <w:rFonts w:asciiTheme="minorHAnsi" w:hAnsiTheme="minorHAnsi" w:cstheme="minorHAnsi"/>
                <w:sz w:val="20"/>
                <w:szCs w:val="20"/>
              </w:rPr>
              <w:t>20(aa) and (a)</w:t>
            </w:r>
            <w:bookmarkEnd w:id="1"/>
            <w:r w:rsidRPr="00D25C6C">
              <w:rPr>
                <w:rFonts w:asciiTheme="minorHAnsi" w:hAnsiTheme="minorHAnsi" w:cstheme="minorHAnsi"/>
                <w:sz w:val="20"/>
                <w:szCs w:val="20"/>
              </w:rPr>
              <w:t xml:space="preserve"> of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Regarding AML training of its employees, the Corporation is of the view that it has arranged the AML training for 7,695 Sales Representatives despite the fact that Corporation is only required to provide AML training to its relevant employees. It would be incorrect to state that sales staff engaged in marketing of policies are not the </w:t>
            </w:r>
            <w:r w:rsidRPr="00D25C6C">
              <w:rPr>
                <w:rFonts w:asciiTheme="minorHAnsi" w:hAnsiTheme="minorHAnsi" w:cstheme="minorHAnsi"/>
                <w:sz w:val="20"/>
                <w:szCs w:val="20"/>
              </w:rPr>
              <w:lastRenderedPageBreak/>
              <w:t xml:space="preserve">relevant employees for the purpose of AML training. In fact, training of those employees, even though they are commission-based agents is equally important like employees of underwriting department and claims department of the Corporation. Therefore, the Corporation failed to arrange the AML training of huge majority of its sales force which constitutes violation of Regulation </w:t>
            </w:r>
            <w:bookmarkStart w:id="2" w:name="_Hlk49856891"/>
            <w:r w:rsidRPr="00D25C6C">
              <w:rPr>
                <w:rFonts w:asciiTheme="minorHAnsi" w:hAnsiTheme="minorHAnsi" w:cstheme="minorHAnsi"/>
                <w:sz w:val="20"/>
                <w:szCs w:val="20"/>
              </w:rPr>
              <w:t>20(b)</w:t>
            </w:r>
            <w:bookmarkEnd w:id="2"/>
            <w:r w:rsidRPr="00D25C6C">
              <w:rPr>
                <w:rFonts w:asciiTheme="minorHAnsi" w:hAnsiTheme="minorHAnsi" w:cstheme="minorHAnsi"/>
                <w:sz w:val="20"/>
                <w:szCs w:val="20"/>
              </w:rPr>
              <w:t>.</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As per submissions of the Respondents, an automated system was deployed at the Principal Office in May 2020 for screening of customers against list of proscribed persons. Prior to deployment of the automated system, the results of manual screenings were being compiled by the Corporation’s Compliance Division based on responses from other Divisions. Thus, the Compliance Division used to communicate the results of manual screening to the SECP accordingly. During this manual screening process, only current month’s data in respect of new customers was being screened. It was not possible to periodically screen the entire data using this manual screening process which was itself not a reliable and fool-proof system to effectively screen the entire portfolio of the Corporation. Moreover, screening of nominees and beneficial owners of customers/policyholders was not being carried out. Therefore, the Corporation did not adopt effective, reliable and fool-proof screening procedures and controls to ensure that it should not be forming business relationship with proscribed individual/entities; designated individuals/entities under UNSCRs and adopted by Government of Pakistan; and their associates/facilitators, which constitutes violation of Regulation </w:t>
            </w:r>
            <w:bookmarkStart w:id="3" w:name="_Hlk49856915"/>
            <w:r w:rsidRPr="00D25C6C">
              <w:rPr>
                <w:rFonts w:asciiTheme="minorHAnsi" w:hAnsiTheme="minorHAnsi" w:cstheme="minorHAnsi"/>
                <w:sz w:val="20"/>
                <w:szCs w:val="20"/>
              </w:rPr>
              <w:t xml:space="preserve">6(5a) </w:t>
            </w:r>
            <w:bookmarkEnd w:id="3"/>
            <w:r w:rsidRPr="00D25C6C">
              <w:rPr>
                <w:rFonts w:asciiTheme="minorHAnsi" w:hAnsiTheme="minorHAnsi" w:cstheme="minorHAnsi"/>
                <w:sz w:val="20"/>
                <w:szCs w:val="20"/>
              </w:rPr>
              <w:t xml:space="preserve">read with Regulation 4(a). </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The Regulations do not provide any exemption from the requirement of  validation of CNIC through NADRA Verisys in case of regular premium policies with premium less than Rs. 100,000/- or single premium policies with premium less than Rs. 250,000/- or policies other than with high risk profile; However, in contradiction to Regulations, AML Policy of the Corporation does not require conducting NADRA Verisys for policies/proposals not falling in the high-risk profile as defined in its AML Policy document or having premium of less than Rs. 100,000/- for regular and Rs.250,000/- for single premium policies. Accordingly, there was no documentary evidence of NADRA Verisys of policyholders and nominees in any of the 20 sample files examined by the inspection team. These deficiencies constitute violations of Regulation </w:t>
            </w:r>
            <w:bookmarkStart w:id="4" w:name="_Hlk49856938"/>
            <w:r w:rsidRPr="00D25C6C">
              <w:rPr>
                <w:rFonts w:asciiTheme="minorHAnsi" w:hAnsiTheme="minorHAnsi" w:cstheme="minorHAnsi"/>
                <w:sz w:val="20"/>
                <w:szCs w:val="20"/>
              </w:rPr>
              <w:t>6(4) read with Note (</w:t>
            </w:r>
            <w:proofErr w:type="spellStart"/>
            <w:r w:rsidRPr="00D25C6C">
              <w:rPr>
                <w:rFonts w:asciiTheme="minorHAnsi" w:hAnsiTheme="minorHAnsi" w:cstheme="minorHAnsi"/>
                <w:sz w:val="20"/>
                <w:szCs w:val="20"/>
              </w:rPr>
              <w:t>i</w:t>
            </w:r>
            <w:proofErr w:type="spellEnd"/>
            <w:r w:rsidRPr="00D25C6C">
              <w:rPr>
                <w:rFonts w:asciiTheme="minorHAnsi" w:hAnsiTheme="minorHAnsi" w:cstheme="minorHAnsi"/>
                <w:sz w:val="20"/>
                <w:szCs w:val="20"/>
              </w:rPr>
              <w:t>) of Annexure-I to the Regulations and Regulation 6(3)(a)</w:t>
            </w:r>
            <w:bookmarkEnd w:id="4"/>
            <w:r w:rsidRPr="00D25C6C">
              <w:rPr>
                <w:rFonts w:asciiTheme="minorHAnsi" w:hAnsiTheme="minorHAnsi" w:cstheme="minorHAnsi"/>
                <w:sz w:val="20"/>
                <w:szCs w:val="20"/>
              </w:rPr>
              <w:t>.</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The Corporation has started obtaining the requisite information/documents from its new group clients but it did not conduct Customer Due Diligence of its existing Group and pension clients from Karachi Zone at the time of establishing business relationship and also did not obtain the information/documents as required in Annexure-I to the Regulations, which constitute violations of Regulation </w:t>
            </w:r>
            <w:bookmarkStart w:id="5" w:name="_Hlk49856959"/>
            <w:r w:rsidRPr="00D25C6C">
              <w:rPr>
                <w:rFonts w:asciiTheme="minorHAnsi" w:hAnsiTheme="minorHAnsi" w:cstheme="minorHAnsi"/>
                <w:sz w:val="20"/>
                <w:szCs w:val="20"/>
              </w:rPr>
              <w:t>6(2) and Regulation 6(4)</w:t>
            </w:r>
            <w:bookmarkEnd w:id="5"/>
            <w:r w:rsidRPr="00D25C6C">
              <w:rPr>
                <w:rFonts w:asciiTheme="minorHAnsi" w:hAnsiTheme="minorHAnsi" w:cstheme="minorHAnsi"/>
                <w:sz w:val="20"/>
                <w:szCs w:val="20"/>
              </w:rPr>
              <w:t xml:space="preserve"> read with Annexure-I to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The Corporation did not put in place a mechanism for assigning the risk rating to its customers. It has been stated in the Reply dated July 12, 2020 that assignment of risk rating to customers is currently in trial phase and separate risk profiling sheet has been developed and </w:t>
            </w:r>
            <w:r w:rsidRPr="00D25C6C">
              <w:rPr>
                <w:rFonts w:asciiTheme="minorHAnsi" w:hAnsiTheme="minorHAnsi" w:cstheme="minorHAnsi"/>
                <w:sz w:val="20"/>
                <w:szCs w:val="20"/>
              </w:rPr>
              <w:lastRenderedPageBreak/>
              <w:t xml:space="preserve">provided to the Zones with the direction to undertake risk assessment.  Therefore, the Corporation did not take appropriate steps to identify and assess its ML and TF risks in relation to its customers and it also failed to assign the risk ratings to its customers. These major issues constitute violations of Regulation </w:t>
            </w:r>
            <w:bookmarkStart w:id="6" w:name="_Hlk49856979"/>
            <w:r w:rsidRPr="00D25C6C">
              <w:rPr>
                <w:rFonts w:asciiTheme="minorHAnsi" w:hAnsiTheme="minorHAnsi" w:cstheme="minorHAnsi"/>
                <w:sz w:val="20"/>
                <w:szCs w:val="20"/>
              </w:rPr>
              <w:t>3(1) and Regulation 6(8)</w:t>
            </w:r>
            <w:bookmarkEnd w:id="6"/>
            <w:r w:rsidRPr="00D25C6C">
              <w:rPr>
                <w:rFonts w:asciiTheme="minorHAnsi" w:hAnsiTheme="minorHAnsi" w:cstheme="minorHAnsi"/>
                <w:sz w:val="20"/>
                <w:szCs w:val="20"/>
              </w:rPr>
              <w:t xml:space="preserve"> of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AML policy of the Corporation under clause 2.1.3.b of 'Product/Service Risk' has categorized a product/service as ‘low risk’ if life insurance policies with an annual premium of less than Rs. 1.0 million and single premium policies with premium less than Rs. 5.0 million which is inconsistent with Regulation 11(2)(d) (Simplified Due Diligence) that stipulates the limits for </w:t>
            </w:r>
            <w:proofErr w:type="spellStart"/>
            <w:r w:rsidRPr="00D25C6C">
              <w:rPr>
                <w:rFonts w:asciiTheme="minorHAnsi" w:hAnsiTheme="minorHAnsi" w:cstheme="minorHAnsi"/>
                <w:sz w:val="20"/>
                <w:szCs w:val="20"/>
              </w:rPr>
              <w:t>categorising</w:t>
            </w:r>
            <w:proofErr w:type="spellEnd"/>
            <w:r w:rsidRPr="00D25C6C">
              <w:rPr>
                <w:rFonts w:asciiTheme="minorHAnsi" w:hAnsiTheme="minorHAnsi" w:cstheme="minorHAnsi"/>
                <w:sz w:val="20"/>
                <w:szCs w:val="20"/>
              </w:rPr>
              <w:t xml:space="preserve"> as low risk cases: Life insurance policies having annual premium of less than Rs. 100,000/- or a single premium of less than Rs. 250,000/-. Thus, the Corporation has violated Regulation </w:t>
            </w:r>
            <w:bookmarkStart w:id="7" w:name="_Hlk49857000"/>
            <w:r w:rsidRPr="00D25C6C">
              <w:rPr>
                <w:rFonts w:asciiTheme="minorHAnsi" w:hAnsiTheme="minorHAnsi" w:cstheme="minorHAnsi"/>
                <w:sz w:val="20"/>
                <w:szCs w:val="20"/>
              </w:rPr>
              <w:t xml:space="preserve">11(2)(d) </w:t>
            </w:r>
            <w:bookmarkEnd w:id="7"/>
            <w:r w:rsidRPr="00D25C6C">
              <w:rPr>
                <w:rFonts w:asciiTheme="minorHAnsi" w:hAnsiTheme="minorHAnsi" w:cstheme="minorHAnsi"/>
                <w:sz w:val="20"/>
                <w:szCs w:val="20"/>
              </w:rPr>
              <w:t>of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The Corporation in its AML Policy under clause 2.1.l.b (CL4) has categorized legal arrangements as 'low risk' customers; however, Regulation 9(2) categorizes legal arrangements with complex structures and those who receive donations as 'high risk'. Such categorization of legal arrangements is in violation of Regulation </w:t>
            </w:r>
            <w:bookmarkStart w:id="8" w:name="_Hlk49857023"/>
            <w:r w:rsidRPr="00D25C6C">
              <w:rPr>
                <w:rFonts w:asciiTheme="minorHAnsi" w:hAnsiTheme="minorHAnsi" w:cstheme="minorHAnsi"/>
                <w:sz w:val="20"/>
                <w:szCs w:val="20"/>
              </w:rPr>
              <w:t>9(2)</w:t>
            </w:r>
            <w:bookmarkEnd w:id="8"/>
            <w:r w:rsidRPr="00D25C6C">
              <w:rPr>
                <w:rFonts w:asciiTheme="minorHAnsi" w:hAnsiTheme="minorHAnsi" w:cstheme="minorHAnsi"/>
                <w:sz w:val="20"/>
                <w:szCs w:val="20"/>
              </w:rPr>
              <w:t xml:space="preserve"> of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The Corporation did not record the justification in writing for assigning 'low risk' rating to its 2 specified policyholders in the risk profiling sheet, which constitutes violation of Regulation </w:t>
            </w:r>
            <w:bookmarkStart w:id="9" w:name="_Hlk49857037"/>
            <w:r w:rsidRPr="00D25C6C">
              <w:rPr>
                <w:rFonts w:asciiTheme="minorHAnsi" w:hAnsiTheme="minorHAnsi" w:cstheme="minorHAnsi"/>
                <w:sz w:val="20"/>
                <w:szCs w:val="20"/>
              </w:rPr>
              <w:t xml:space="preserve">11(2) </w:t>
            </w:r>
            <w:bookmarkEnd w:id="9"/>
            <w:r w:rsidRPr="00D25C6C">
              <w:rPr>
                <w:rFonts w:asciiTheme="minorHAnsi" w:hAnsiTheme="minorHAnsi" w:cstheme="minorHAnsi"/>
                <w:sz w:val="20"/>
                <w:szCs w:val="20"/>
              </w:rPr>
              <w:t>of the Regulations:</w:t>
            </w:r>
          </w:p>
          <w:p w:rsidR="00597F88" w:rsidRPr="00D25C6C" w:rsidRDefault="00597F88" w:rsidP="00597F88">
            <w:pPr>
              <w:pStyle w:val="ListParagraph"/>
              <w:numPr>
                <w:ilvl w:val="0"/>
                <w:numId w:val="9"/>
              </w:numPr>
              <w:ind w:left="1418" w:right="-23" w:hanging="851"/>
              <w:jc w:val="both"/>
              <w:rPr>
                <w:rFonts w:asciiTheme="minorHAnsi" w:hAnsiTheme="minorHAnsi" w:cstheme="minorHAnsi"/>
                <w:sz w:val="20"/>
                <w:szCs w:val="20"/>
              </w:rPr>
            </w:pPr>
            <w:r w:rsidRPr="00D25C6C">
              <w:rPr>
                <w:rFonts w:asciiTheme="minorHAnsi" w:hAnsiTheme="minorHAnsi" w:cstheme="minorHAnsi"/>
                <w:sz w:val="20"/>
                <w:szCs w:val="20"/>
              </w:rPr>
              <w:t xml:space="preserve">Non-availability of KYC forms in files of 7 customers out of a sample of 20 </w:t>
            </w:r>
            <w:r w:rsidR="003F5502" w:rsidRPr="00D25C6C">
              <w:rPr>
                <w:rFonts w:asciiTheme="minorHAnsi" w:hAnsiTheme="minorHAnsi" w:cstheme="minorHAnsi"/>
                <w:sz w:val="20"/>
                <w:szCs w:val="20"/>
              </w:rPr>
              <w:t>customers’</w:t>
            </w:r>
            <w:r w:rsidRPr="00D25C6C">
              <w:rPr>
                <w:rFonts w:asciiTheme="minorHAnsi" w:hAnsiTheme="minorHAnsi" w:cstheme="minorHAnsi"/>
                <w:sz w:val="20"/>
                <w:szCs w:val="20"/>
              </w:rPr>
              <w:t xml:space="preserve"> files indicates that required CDD measures were not taken when establishing business relationship with those customers which constitutes violation of Regulation </w:t>
            </w:r>
            <w:bookmarkStart w:id="10" w:name="_Hlk49857067"/>
            <w:r w:rsidRPr="00D25C6C">
              <w:rPr>
                <w:rFonts w:asciiTheme="minorHAnsi" w:hAnsiTheme="minorHAnsi" w:cstheme="minorHAnsi"/>
                <w:sz w:val="20"/>
                <w:szCs w:val="20"/>
              </w:rPr>
              <w:t>6(2)</w:t>
            </w:r>
            <w:bookmarkEnd w:id="10"/>
            <w:r w:rsidRPr="00D25C6C">
              <w:rPr>
                <w:rFonts w:asciiTheme="minorHAnsi" w:hAnsiTheme="minorHAnsi" w:cstheme="minorHAnsi"/>
                <w:sz w:val="20"/>
                <w:szCs w:val="20"/>
              </w:rPr>
              <w:t>. In case of the policyholder having Policy No. 601907936-6, the Corporation has categorized the product/service risk as ‘low’, whereas the product is single premium with a premium amount of Rs. 460,118</w:t>
            </w:r>
            <w:proofErr w:type="gramStart"/>
            <w:r w:rsidRPr="00D25C6C">
              <w:rPr>
                <w:rFonts w:asciiTheme="minorHAnsi" w:hAnsiTheme="minorHAnsi" w:cstheme="minorHAnsi"/>
                <w:sz w:val="20"/>
                <w:szCs w:val="20"/>
              </w:rPr>
              <w:t>/</w:t>
            </w:r>
            <w:r w:rsidR="00950A82">
              <w:rPr>
                <w:rFonts w:asciiTheme="minorHAnsi" w:hAnsiTheme="minorHAnsi" w:cstheme="minorHAnsi"/>
                <w:sz w:val="20"/>
                <w:szCs w:val="20"/>
              </w:rPr>
              <w:t>.</w:t>
            </w:r>
            <w:r w:rsidRPr="00D25C6C">
              <w:rPr>
                <w:rFonts w:asciiTheme="minorHAnsi" w:hAnsiTheme="minorHAnsi" w:cstheme="minorHAnsi"/>
                <w:sz w:val="20"/>
                <w:szCs w:val="20"/>
              </w:rPr>
              <w:t>The</w:t>
            </w:r>
            <w:proofErr w:type="gramEnd"/>
            <w:r w:rsidRPr="00D25C6C">
              <w:rPr>
                <w:rFonts w:asciiTheme="minorHAnsi" w:hAnsiTheme="minorHAnsi" w:cstheme="minorHAnsi"/>
                <w:sz w:val="20"/>
                <w:szCs w:val="20"/>
              </w:rPr>
              <w:t xml:space="preserve"> decision to rate the risk as “low” is not justified in light of Regulation 11(2)(d) which provides that life insurance policies with single premium of less than Rs. 250,000/- could be recognized as “low” risk. Thus, the Company did not conduct the required EDD measures despite the fact that “</w:t>
            </w:r>
            <w:r w:rsidR="0078135C" w:rsidRPr="00D25C6C">
              <w:rPr>
                <w:rFonts w:asciiTheme="minorHAnsi" w:hAnsiTheme="minorHAnsi" w:cstheme="minorHAnsi"/>
                <w:sz w:val="20"/>
                <w:szCs w:val="20"/>
              </w:rPr>
              <w:t>high “risk</w:t>
            </w:r>
            <w:r w:rsidRPr="00D25C6C">
              <w:rPr>
                <w:rFonts w:asciiTheme="minorHAnsi" w:hAnsiTheme="minorHAnsi" w:cstheme="minorHAnsi"/>
                <w:sz w:val="20"/>
                <w:szCs w:val="20"/>
              </w:rPr>
              <w:t xml:space="preserve"> exists in the said product/service which constitutes violation of Regulation </w:t>
            </w:r>
            <w:bookmarkStart w:id="11" w:name="_Hlk49857080"/>
            <w:r w:rsidRPr="00D25C6C">
              <w:rPr>
                <w:rFonts w:asciiTheme="minorHAnsi" w:hAnsiTheme="minorHAnsi" w:cstheme="minorHAnsi"/>
                <w:sz w:val="20"/>
                <w:szCs w:val="20"/>
              </w:rPr>
              <w:t>9(3)</w:t>
            </w:r>
            <w:bookmarkEnd w:id="11"/>
            <w:r w:rsidRPr="00D25C6C">
              <w:rPr>
                <w:rFonts w:asciiTheme="minorHAnsi" w:hAnsiTheme="minorHAnsi" w:cstheme="minorHAnsi"/>
                <w:sz w:val="20"/>
                <w:szCs w:val="20"/>
              </w:rPr>
              <w:t>.</w:t>
            </w:r>
          </w:p>
          <w:p w:rsidR="00597F88" w:rsidRPr="00D25C6C" w:rsidRDefault="00597F88" w:rsidP="00597F88">
            <w:pPr>
              <w:pStyle w:val="Default"/>
              <w:ind w:left="567" w:right="-23" w:hanging="567"/>
              <w:jc w:val="both"/>
              <w:rPr>
                <w:rFonts w:asciiTheme="minorHAnsi" w:hAnsiTheme="minorHAnsi" w:cstheme="minorHAnsi"/>
                <w:sz w:val="20"/>
                <w:szCs w:val="20"/>
              </w:rPr>
            </w:pPr>
          </w:p>
          <w:p w:rsidR="00597F88" w:rsidRPr="00D25C6C" w:rsidRDefault="00597F88" w:rsidP="00D25C6C">
            <w:pPr>
              <w:ind w:left="709"/>
              <w:jc w:val="both"/>
              <w:rPr>
                <w:rFonts w:asciiTheme="minorHAnsi" w:hAnsiTheme="minorHAnsi" w:cstheme="minorHAnsi"/>
                <w:sz w:val="20"/>
                <w:szCs w:val="20"/>
              </w:rPr>
            </w:pPr>
            <w:r w:rsidRPr="00D25C6C">
              <w:rPr>
                <w:rFonts w:asciiTheme="minorHAnsi" w:hAnsiTheme="minorHAnsi" w:cstheme="minorHAnsi"/>
                <w:iCs/>
                <w:sz w:val="20"/>
                <w:szCs w:val="20"/>
              </w:rPr>
              <w:t xml:space="preserve">In view of the foregoing facts, I am of the considered view that flagrant and multiple violations of the provisions of Regulations </w:t>
            </w:r>
            <w:r w:rsidRPr="00D25C6C">
              <w:rPr>
                <w:rFonts w:asciiTheme="minorHAnsi" w:hAnsiTheme="minorHAnsi" w:cstheme="minorHAnsi"/>
                <w:iCs/>
                <w:sz w:val="20"/>
                <w:szCs w:val="20"/>
                <w:lang w:bidi="en-US"/>
              </w:rPr>
              <w:t>3(1), 3(2)(b), 4(a),(b)&amp;(d), 6(2), 6(3)(a), 6(4) read with Note (</w:t>
            </w:r>
            <w:proofErr w:type="spellStart"/>
            <w:r w:rsidRPr="00D25C6C">
              <w:rPr>
                <w:rFonts w:asciiTheme="minorHAnsi" w:hAnsiTheme="minorHAnsi" w:cstheme="minorHAnsi"/>
                <w:iCs/>
                <w:sz w:val="20"/>
                <w:szCs w:val="20"/>
                <w:lang w:bidi="en-US"/>
              </w:rPr>
              <w:t>i</w:t>
            </w:r>
            <w:proofErr w:type="spellEnd"/>
            <w:r w:rsidRPr="00D25C6C">
              <w:rPr>
                <w:rFonts w:asciiTheme="minorHAnsi" w:hAnsiTheme="minorHAnsi" w:cstheme="minorHAnsi"/>
                <w:iCs/>
                <w:sz w:val="20"/>
                <w:szCs w:val="20"/>
                <w:lang w:bidi="en-US"/>
              </w:rPr>
              <w:t>) to the Regulations, 6(5a), 6(8), 9(2), 9(3), 11(2), 20(aa), 20(a) and 20(b) of</w:t>
            </w:r>
            <w:r w:rsidRPr="00D25C6C">
              <w:rPr>
                <w:rFonts w:asciiTheme="minorHAnsi" w:hAnsiTheme="minorHAnsi" w:cstheme="minorHAnsi"/>
                <w:iCs/>
                <w:sz w:val="20"/>
                <w:szCs w:val="20"/>
              </w:rPr>
              <w:t xml:space="preserve"> the Regulations </w:t>
            </w:r>
            <w:r w:rsidRPr="00D25C6C">
              <w:rPr>
                <w:rFonts w:asciiTheme="minorHAnsi" w:hAnsiTheme="minorHAnsi" w:cstheme="minorHAnsi"/>
                <w:sz w:val="20"/>
                <w:szCs w:val="20"/>
              </w:rPr>
              <w:t xml:space="preserve">have been established. Therefore, in terms of powers conferred under section 40A of the Act, a penalty of </w:t>
            </w:r>
            <w:r w:rsidRPr="00D25C6C">
              <w:rPr>
                <w:rFonts w:asciiTheme="minorHAnsi" w:hAnsiTheme="minorHAnsi" w:cstheme="minorHAnsi"/>
                <w:b/>
                <w:sz w:val="20"/>
                <w:szCs w:val="20"/>
              </w:rPr>
              <w:t>Rs</w:t>
            </w:r>
            <w:r w:rsidRPr="00D25C6C">
              <w:rPr>
                <w:rFonts w:asciiTheme="minorHAnsi" w:hAnsiTheme="minorHAnsi" w:cstheme="minorHAnsi"/>
                <w:b/>
                <w:bCs/>
                <w:sz w:val="20"/>
                <w:szCs w:val="20"/>
              </w:rPr>
              <w:t xml:space="preserve">. </w:t>
            </w:r>
            <w:r w:rsidRPr="00D25C6C">
              <w:rPr>
                <w:rFonts w:asciiTheme="minorHAnsi" w:hAnsiTheme="minorHAnsi" w:cstheme="minorHAnsi"/>
                <w:b/>
                <w:bCs/>
                <w:sz w:val="20"/>
                <w:szCs w:val="20"/>
                <w:u w:val="single"/>
              </w:rPr>
              <w:t>3,800,000</w:t>
            </w:r>
            <w:r w:rsidRPr="00D25C6C">
              <w:rPr>
                <w:rFonts w:asciiTheme="minorHAnsi" w:hAnsiTheme="minorHAnsi" w:cstheme="minorHAnsi"/>
                <w:b/>
                <w:bCs/>
                <w:sz w:val="20"/>
                <w:szCs w:val="20"/>
              </w:rPr>
              <w:t>/- (</w:t>
            </w:r>
            <w:r w:rsidRPr="00D25C6C">
              <w:rPr>
                <w:rFonts w:asciiTheme="minorHAnsi" w:hAnsiTheme="minorHAnsi" w:cstheme="minorHAnsi"/>
                <w:b/>
                <w:bCs/>
                <w:sz w:val="20"/>
                <w:szCs w:val="20"/>
                <w:u w:val="single"/>
              </w:rPr>
              <w:t>Rupees Three Million Eight Hundred Thousand only</w:t>
            </w:r>
            <w:r w:rsidRPr="00D25C6C">
              <w:rPr>
                <w:rFonts w:asciiTheme="minorHAnsi" w:hAnsiTheme="minorHAnsi" w:cstheme="minorHAnsi"/>
                <w:b/>
                <w:bCs/>
                <w:sz w:val="20"/>
                <w:szCs w:val="20"/>
              </w:rPr>
              <w:t xml:space="preserve">) </w:t>
            </w:r>
            <w:r w:rsidRPr="00D25C6C">
              <w:rPr>
                <w:rFonts w:asciiTheme="minorHAnsi" w:hAnsiTheme="minorHAnsi" w:cstheme="minorHAnsi"/>
                <w:sz w:val="20"/>
                <w:szCs w:val="20"/>
              </w:rPr>
              <w:t>is hereby imposed on the Corporation. The Respondents are also warned and Corporation is hereby directed to:</w:t>
            </w:r>
          </w:p>
          <w:p w:rsidR="00597F88" w:rsidRPr="00D25C6C" w:rsidRDefault="00597F88" w:rsidP="00597F88">
            <w:pPr>
              <w:pStyle w:val="ListParagraph"/>
              <w:numPr>
                <w:ilvl w:val="0"/>
                <w:numId w:val="24"/>
              </w:numPr>
              <w:ind w:left="993" w:hanging="284"/>
              <w:jc w:val="both"/>
              <w:rPr>
                <w:rFonts w:asciiTheme="minorHAnsi" w:hAnsiTheme="minorHAnsi" w:cstheme="minorHAnsi"/>
                <w:sz w:val="20"/>
                <w:szCs w:val="20"/>
              </w:rPr>
            </w:pPr>
            <w:r w:rsidRPr="00D25C6C">
              <w:rPr>
                <w:rFonts w:asciiTheme="minorHAnsi" w:hAnsiTheme="minorHAnsi" w:cstheme="minorHAnsi"/>
                <w:sz w:val="20"/>
                <w:szCs w:val="20"/>
              </w:rPr>
              <w:t xml:space="preserve">Fully implement counter ML and TF measures including but not limited to formulation and implementation of policies, procedures and controls to ensure that the requirements contained in the AML/CFT Regulations, 2018 are meticulously complied in true letter and spirit. </w:t>
            </w:r>
          </w:p>
          <w:p w:rsidR="00597F88" w:rsidRPr="00D25C6C" w:rsidRDefault="00597F88" w:rsidP="00597F88">
            <w:pPr>
              <w:pStyle w:val="ListParagraph"/>
              <w:numPr>
                <w:ilvl w:val="0"/>
                <w:numId w:val="24"/>
              </w:numPr>
              <w:ind w:left="993" w:hanging="284"/>
              <w:jc w:val="both"/>
              <w:rPr>
                <w:rFonts w:asciiTheme="minorHAnsi" w:hAnsiTheme="minorHAnsi" w:cstheme="minorHAnsi"/>
                <w:sz w:val="20"/>
                <w:szCs w:val="20"/>
              </w:rPr>
            </w:pPr>
            <w:r w:rsidRPr="00D25C6C">
              <w:rPr>
                <w:rFonts w:asciiTheme="minorHAnsi" w:hAnsiTheme="minorHAnsi" w:cstheme="minorHAnsi"/>
                <w:sz w:val="20"/>
                <w:szCs w:val="20"/>
              </w:rPr>
              <w:lastRenderedPageBreak/>
              <w:t xml:space="preserve">That the Corporation shall submit its compliance report to the Supervision Department, Insurance Division within one month of the date of this Order in respect of all the obligatory measures under the AML/CFT Regulations, 2018 including but not limited to screening and training of its employees/agents and screening of its entire customers’ database. </w:t>
            </w:r>
          </w:p>
          <w:p w:rsidR="00597F88" w:rsidRPr="00D25C6C" w:rsidRDefault="00597F88" w:rsidP="00597F88">
            <w:pPr>
              <w:pStyle w:val="ListParagraph"/>
              <w:tabs>
                <w:tab w:val="left" w:pos="709"/>
              </w:tabs>
              <w:ind w:left="709" w:hanging="709"/>
              <w:jc w:val="both"/>
              <w:rPr>
                <w:rFonts w:asciiTheme="minorHAnsi" w:hAnsiTheme="minorHAnsi" w:cstheme="minorHAnsi"/>
                <w:sz w:val="20"/>
                <w:szCs w:val="20"/>
              </w:rPr>
            </w:pPr>
          </w:p>
          <w:p w:rsidR="00597F88" w:rsidRPr="00D25C6C" w:rsidRDefault="00597F88" w:rsidP="00597F88">
            <w:pPr>
              <w:tabs>
                <w:tab w:val="left" w:pos="709"/>
              </w:tabs>
              <w:ind w:left="709" w:hanging="709"/>
              <w:jc w:val="both"/>
              <w:rPr>
                <w:rFonts w:asciiTheme="minorHAnsi" w:hAnsiTheme="minorHAnsi" w:cstheme="minorHAnsi"/>
                <w:sz w:val="20"/>
                <w:szCs w:val="20"/>
              </w:rPr>
            </w:pPr>
            <w:r w:rsidRPr="00D25C6C">
              <w:rPr>
                <w:rFonts w:asciiTheme="minorHAnsi" w:hAnsiTheme="minorHAnsi" w:cstheme="minorHAnsi"/>
                <w:sz w:val="20"/>
                <w:szCs w:val="20"/>
              </w:rPr>
              <w:tab/>
              <w:t>Furthermore, the Corporation is advised to take the following remedial measures:</w:t>
            </w:r>
          </w:p>
          <w:p w:rsidR="00597F88" w:rsidRPr="00D25C6C" w:rsidRDefault="00597F88" w:rsidP="00597F88">
            <w:pPr>
              <w:pStyle w:val="ListParagraph"/>
              <w:numPr>
                <w:ilvl w:val="0"/>
                <w:numId w:val="23"/>
              </w:numPr>
              <w:ind w:left="1134" w:hanging="425"/>
              <w:jc w:val="both"/>
              <w:rPr>
                <w:rFonts w:asciiTheme="minorHAnsi" w:hAnsiTheme="minorHAnsi" w:cstheme="minorHAnsi"/>
                <w:sz w:val="20"/>
                <w:szCs w:val="20"/>
              </w:rPr>
            </w:pPr>
            <w:r w:rsidRPr="00D25C6C">
              <w:rPr>
                <w:rFonts w:asciiTheme="minorHAnsi" w:hAnsiTheme="minorHAnsi" w:cstheme="minorHAnsi"/>
                <w:sz w:val="20"/>
                <w:szCs w:val="20"/>
              </w:rPr>
              <w:t>Web-based application software may be used for imparting “AML/CFT Training” to its entire strength consisting of employees as well as commission-based agents across the country.</w:t>
            </w:r>
          </w:p>
          <w:p w:rsidR="00597F88" w:rsidRPr="00D25C6C" w:rsidRDefault="00597F88" w:rsidP="00597F88">
            <w:pPr>
              <w:pStyle w:val="ListParagraph"/>
              <w:numPr>
                <w:ilvl w:val="0"/>
                <w:numId w:val="23"/>
              </w:numPr>
              <w:ind w:left="1134" w:hanging="425"/>
              <w:jc w:val="both"/>
              <w:rPr>
                <w:rFonts w:asciiTheme="minorHAnsi" w:hAnsiTheme="minorHAnsi" w:cstheme="minorHAnsi"/>
                <w:sz w:val="20"/>
                <w:szCs w:val="20"/>
              </w:rPr>
            </w:pPr>
            <w:r w:rsidRPr="00D25C6C">
              <w:rPr>
                <w:rFonts w:asciiTheme="minorHAnsi" w:hAnsiTheme="minorHAnsi" w:cstheme="minorHAnsi"/>
                <w:sz w:val="20"/>
                <w:szCs w:val="20"/>
              </w:rPr>
              <w:t>An internal inquiry may be conducted by the management to fix the responsibility of the officers due to whom violations of the AML/CFT Regulations took place and appropriate disciplinary action may be taken against those responsible, that is commensurate with the riskiness of the violations identified and submit the compliance report to the Supervision Department, Insurance Division at the earliest.</w:t>
            </w:r>
            <w:r w:rsidRPr="00D25C6C">
              <w:rPr>
                <w:rFonts w:asciiTheme="minorHAnsi" w:hAnsiTheme="minorHAnsi" w:cstheme="minorHAnsi"/>
                <w:sz w:val="20"/>
                <w:szCs w:val="20"/>
                <w:highlight w:val="yellow"/>
              </w:rPr>
              <w:t xml:space="preserve">  </w:t>
            </w:r>
          </w:p>
          <w:p w:rsidR="007C3E9E" w:rsidRPr="00D25C6C" w:rsidRDefault="007C3E9E" w:rsidP="00E03F7F">
            <w:pPr>
              <w:jc w:val="both"/>
              <w:rPr>
                <w:rFonts w:asciiTheme="minorHAnsi" w:hAnsiTheme="minorHAnsi" w:cstheme="minorHAnsi"/>
                <w:sz w:val="20"/>
                <w:szCs w:val="20"/>
              </w:rPr>
            </w:pPr>
          </w:p>
          <w:p w:rsidR="007C3E9E" w:rsidRPr="00D25C6C" w:rsidRDefault="007C3E9E" w:rsidP="00E03F7F">
            <w:pPr>
              <w:jc w:val="both"/>
              <w:rPr>
                <w:rFonts w:asciiTheme="minorHAnsi" w:hAnsiTheme="minorHAnsi" w:cstheme="minorHAnsi"/>
                <w:sz w:val="20"/>
                <w:szCs w:val="20"/>
              </w:rPr>
            </w:pPr>
          </w:p>
          <w:p w:rsidR="007C3E9E" w:rsidRPr="00D25C6C" w:rsidRDefault="007C3E9E" w:rsidP="00E03F7F">
            <w:pPr>
              <w:jc w:val="both"/>
              <w:rPr>
                <w:rFonts w:asciiTheme="minorHAnsi" w:hAnsiTheme="minorHAnsi" w:cstheme="minorHAnsi"/>
                <w:sz w:val="20"/>
                <w:szCs w:val="20"/>
              </w:rPr>
            </w:pPr>
          </w:p>
          <w:p w:rsidR="000E41DC" w:rsidRPr="00D25C6C" w:rsidRDefault="00597F88" w:rsidP="00E03F7F">
            <w:pPr>
              <w:jc w:val="both"/>
              <w:rPr>
                <w:rFonts w:asciiTheme="minorHAnsi" w:hAnsiTheme="minorHAnsi" w:cstheme="minorHAnsi"/>
                <w:sz w:val="20"/>
                <w:szCs w:val="20"/>
              </w:rPr>
            </w:pPr>
            <w:r w:rsidRPr="00D25C6C">
              <w:rPr>
                <w:rFonts w:asciiTheme="minorHAnsi" w:hAnsiTheme="minorHAnsi" w:cstheme="minorHAnsi"/>
                <w:sz w:val="20"/>
                <w:szCs w:val="20"/>
              </w:rPr>
              <w:t>Penalty</w:t>
            </w:r>
            <w:r w:rsidR="007C3E9E" w:rsidRPr="00D25C6C">
              <w:rPr>
                <w:rFonts w:asciiTheme="minorHAnsi" w:hAnsiTheme="minorHAnsi" w:cstheme="minorHAnsi"/>
                <w:sz w:val="20"/>
                <w:szCs w:val="20"/>
              </w:rPr>
              <w:t xml:space="preserve"> </w:t>
            </w:r>
            <w:r w:rsidR="00950A82">
              <w:rPr>
                <w:rFonts w:asciiTheme="minorHAnsi" w:hAnsiTheme="minorHAnsi" w:cstheme="minorHAnsi"/>
                <w:sz w:val="20"/>
                <w:szCs w:val="20"/>
              </w:rPr>
              <w:t xml:space="preserve">Order </w:t>
            </w:r>
            <w:r w:rsidR="00E03F7F" w:rsidRPr="00D25C6C">
              <w:rPr>
                <w:rFonts w:asciiTheme="minorHAnsi" w:hAnsiTheme="minorHAnsi" w:cstheme="minorHAnsi"/>
                <w:sz w:val="20"/>
                <w:szCs w:val="20"/>
              </w:rPr>
              <w:t xml:space="preserve">dated </w:t>
            </w:r>
            <w:r w:rsidR="007D7286" w:rsidRPr="00D25C6C">
              <w:rPr>
                <w:rFonts w:asciiTheme="minorHAnsi" w:hAnsiTheme="minorHAnsi" w:cstheme="minorHAnsi"/>
                <w:sz w:val="20"/>
                <w:szCs w:val="20"/>
              </w:rPr>
              <w:t>September 01</w:t>
            </w:r>
            <w:r w:rsidR="00E03F7F" w:rsidRPr="00D25C6C">
              <w:rPr>
                <w:rFonts w:asciiTheme="minorHAnsi" w:hAnsiTheme="minorHAnsi" w:cstheme="minorHAnsi"/>
                <w:sz w:val="20"/>
                <w:szCs w:val="20"/>
              </w:rPr>
              <w:t>,</w:t>
            </w:r>
            <w:r w:rsidR="00CC3C9B" w:rsidRPr="00D25C6C">
              <w:rPr>
                <w:rFonts w:asciiTheme="minorHAnsi" w:hAnsiTheme="minorHAnsi" w:cstheme="minorHAnsi"/>
                <w:sz w:val="20"/>
                <w:szCs w:val="20"/>
              </w:rPr>
              <w:t xml:space="preserve"> 2020 was passed by Executive Director (Adjudication-I). </w:t>
            </w:r>
          </w:p>
          <w:p w:rsidR="007D7286" w:rsidRPr="00D25C6C" w:rsidRDefault="007D7286" w:rsidP="00E03F7F">
            <w:pPr>
              <w:jc w:val="both"/>
              <w:rPr>
                <w:rFonts w:asciiTheme="minorHAnsi" w:hAnsiTheme="minorHAnsi" w:cstheme="minorHAnsi"/>
                <w:sz w:val="20"/>
                <w:szCs w:val="20"/>
              </w:rPr>
            </w:pPr>
          </w:p>
          <w:p w:rsidR="007C3E9E" w:rsidRPr="00D25C6C" w:rsidRDefault="007C3E9E" w:rsidP="00E03F7F">
            <w:pPr>
              <w:jc w:val="both"/>
              <w:rPr>
                <w:rFonts w:asciiTheme="minorHAnsi" w:hAnsiTheme="minorHAnsi" w:cstheme="minorHAnsi"/>
                <w:sz w:val="20"/>
                <w:szCs w:val="20"/>
              </w:rPr>
            </w:pPr>
          </w:p>
          <w:p w:rsidR="007D7286" w:rsidRPr="00D25C6C" w:rsidRDefault="007D7286" w:rsidP="00E03F7F">
            <w:pPr>
              <w:jc w:val="both"/>
              <w:rPr>
                <w:rFonts w:asciiTheme="minorHAnsi" w:hAnsiTheme="minorHAnsi" w:cstheme="minorHAnsi"/>
                <w:sz w:val="20"/>
                <w:szCs w:val="20"/>
              </w:rPr>
            </w:pPr>
          </w:p>
        </w:tc>
      </w:tr>
      <w:tr w:rsidR="000E41DC" w:rsidRPr="00D25C6C" w:rsidTr="00752904">
        <w:tc>
          <w:tcPr>
            <w:tcW w:w="2605" w:type="dxa"/>
          </w:tcPr>
          <w:p w:rsidR="00CC3C9B" w:rsidRPr="00D25C6C" w:rsidRDefault="00CC3C9B" w:rsidP="00CC3C9B">
            <w:pPr>
              <w:pStyle w:val="NoSpacing"/>
              <w:numPr>
                <w:ilvl w:val="0"/>
                <w:numId w:val="15"/>
              </w:numPr>
              <w:ind w:left="334"/>
              <w:rPr>
                <w:rFonts w:asciiTheme="minorHAnsi" w:hAnsiTheme="minorHAnsi" w:cstheme="minorHAnsi"/>
                <w:sz w:val="20"/>
                <w:szCs w:val="20"/>
              </w:rPr>
            </w:pPr>
            <w:r w:rsidRPr="00D25C6C">
              <w:rPr>
                <w:rFonts w:asciiTheme="minorHAnsi" w:hAnsiTheme="minorHAnsi" w:cstheme="minorHAnsi"/>
                <w:sz w:val="20"/>
                <w:szCs w:val="20"/>
              </w:rPr>
              <w:lastRenderedPageBreak/>
              <w:t>Penalty Imposed</w:t>
            </w:r>
          </w:p>
          <w:p w:rsidR="000E41DC" w:rsidRPr="00D25C6C" w:rsidRDefault="000E41DC" w:rsidP="00B96DEA">
            <w:pPr>
              <w:jc w:val="both"/>
              <w:rPr>
                <w:rFonts w:asciiTheme="minorHAnsi" w:hAnsiTheme="minorHAnsi" w:cstheme="minorHAnsi"/>
                <w:sz w:val="20"/>
                <w:szCs w:val="20"/>
              </w:rPr>
            </w:pPr>
          </w:p>
        </w:tc>
        <w:tc>
          <w:tcPr>
            <w:tcW w:w="7110" w:type="dxa"/>
          </w:tcPr>
          <w:p w:rsidR="007C3E9E" w:rsidRPr="00D25C6C" w:rsidRDefault="00C2424A" w:rsidP="00E03F7F">
            <w:pPr>
              <w:jc w:val="both"/>
              <w:rPr>
                <w:rFonts w:asciiTheme="minorHAnsi" w:hAnsiTheme="minorHAnsi" w:cstheme="minorHAnsi"/>
                <w:sz w:val="20"/>
                <w:szCs w:val="20"/>
              </w:rPr>
            </w:pPr>
            <w:r w:rsidRPr="00D25C6C">
              <w:rPr>
                <w:rFonts w:asciiTheme="minorHAnsi" w:hAnsiTheme="minorHAnsi" w:cstheme="minorHAnsi"/>
                <w:sz w:val="20"/>
                <w:szCs w:val="20"/>
              </w:rPr>
              <w:t>Penalty of 3,800,000</w:t>
            </w:r>
            <w:r w:rsidR="0078135C" w:rsidRPr="0078135C">
              <w:rPr>
                <w:rFonts w:asciiTheme="minorHAnsi" w:hAnsiTheme="minorHAnsi" w:cstheme="minorHAnsi"/>
                <w:bCs/>
                <w:sz w:val="20"/>
                <w:szCs w:val="20"/>
              </w:rPr>
              <w:t>/- (</w:t>
            </w:r>
            <w:r w:rsidR="0078135C" w:rsidRPr="0078135C">
              <w:rPr>
                <w:rFonts w:asciiTheme="minorHAnsi" w:hAnsiTheme="minorHAnsi" w:cstheme="minorHAnsi"/>
                <w:bCs/>
                <w:sz w:val="20"/>
                <w:szCs w:val="20"/>
                <w:u w:val="single"/>
              </w:rPr>
              <w:t>Rupees Three Million Eight Hundred Thousand only</w:t>
            </w:r>
            <w:r w:rsidR="0078135C" w:rsidRPr="00D25C6C">
              <w:rPr>
                <w:rFonts w:asciiTheme="minorHAnsi" w:hAnsiTheme="minorHAnsi" w:cstheme="minorHAnsi"/>
                <w:b/>
                <w:bCs/>
                <w:sz w:val="20"/>
                <w:szCs w:val="20"/>
              </w:rPr>
              <w:t xml:space="preserve">) </w:t>
            </w:r>
            <w:r w:rsidRPr="00D25C6C">
              <w:rPr>
                <w:rFonts w:asciiTheme="minorHAnsi" w:hAnsiTheme="minorHAnsi" w:cstheme="minorHAnsi"/>
                <w:sz w:val="20"/>
                <w:szCs w:val="20"/>
              </w:rPr>
              <w:t>was imposed</w:t>
            </w:r>
            <w:r w:rsidR="00FE562E">
              <w:rPr>
                <w:rFonts w:asciiTheme="minorHAnsi" w:hAnsiTheme="minorHAnsi" w:cstheme="minorHAnsi"/>
                <w:sz w:val="20"/>
                <w:szCs w:val="20"/>
              </w:rPr>
              <w:t>.</w:t>
            </w:r>
          </w:p>
          <w:p w:rsidR="007C3E9E" w:rsidRPr="00D25C6C" w:rsidRDefault="007C3E9E" w:rsidP="00E03F7F">
            <w:pPr>
              <w:jc w:val="both"/>
              <w:rPr>
                <w:rFonts w:asciiTheme="minorHAnsi" w:hAnsiTheme="minorHAnsi" w:cstheme="minorHAnsi"/>
                <w:sz w:val="20"/>
                <w:szCs w:val="20"/>
              </w:rPr>
            </w:pPr>
          </w:p>
        </w:tc>
      </w:tr>
      <w:tr w:rsidR="000E41DC" w:rsidRPr="00D25C6C" w:rsidTr="00752904">
        <w:tc>
          <w:tcPr>
            <w:tcW w:w="2605" w:type="dxa"/>
          </w:tcPr>
          <w:p w:rsidR="000E41DC" w:rsidRPr="00D25C6C" w:rsidRDefault="00CC3C9B" w:rsidP="00CC3C9B">
            <w:pPr>
              <w:pStyle w:val="ListParagraph"/>
              <w:numPr>
                <w:ilvl w:val="0"/>
                <w:numId w:val="15"/>
              </w:numPr>
              <w:ind w:left="334"/>
              <w:jc w:val="both"/>
              <w:rPr>
                <w:rFonts w:asciiTheme="minorHAnsi" w:hAnsiTheme="minorHAnsi" w:cstheme="minorHAnsi"/>
                <w:sz w:val="20"/>
                <w:szCs w:val="20"/>
              </w:rPr>
            </w:pPr>
            <w:r w:rsidRPr="00D25C6C">
              <w:rPr>
                <w:rFonts w:asciiTheme="minorHAnsi" w:hAnsiTheme="minorHAnsi" w:cstheme="minorHAnsi"/>
                <w:sz w:val="20"/>
                <w:szCs w:val="20"/>
              </w:rPr>
              <w:t>Current Status of Order</w:t>
            </w:r>
          </w:p>
        </w:tc>
        <w:tc>
          <w:tcPr>
            <w:tcW w:w="7110" w:type="dxa"/>
          </w:tcPr>
          <w:p w:rsidR="000E41DC" w:rsidRPr="00D25C6C" w:rsidRDefault="003359CE" w:rsidP="00B96DEA">
            <w:pPr>
              <w:jc w:val="both"/>
              <w:rPr>
                <w:rFonts w:asciiTheme="minorHAnsi" w:hAnsiTheme="minorHAnsi" w:cstheme="minorHAnsi"/>
                <w:sz w:val="20"/>
                <w:szCs w:val="20"/>
              </w:rPr>
            </w:pPr>
            <w:r>
              <w:rPr>
                <w:rFonts w:asciiTheme="minorHAnsi" w:hAnsiTheme="minorHAnsi" w:cstheme="minorHAnsi"/>
                <w:sz w:val="20"/>
                <w:szCs w:val="20"/>
              </w:rPr>
              <w:t>A</w:t>
            </w:r>
            <w:r w:rsidR="00E03F7F" w:rsidRPr="00D25C6C">
              <w:rPr>
                <w:rFonts w:asciiTheme="minorHAnsi" w:hAnsiTheme="minorHAnsi" w:cstheme="minorHAnsi"/>
                <w:sz w:val="20"/>
                <w:szCs w:val="20"/>
              </w:rPr>
              <w:t>ppeal was filed</w:t>
            </w:r>
            <w:r w:rsidR="0078135C">
              <w:rPr>
                <w:rFonts w:asciiTheme="minorHAnsi" w:hAnsiTheme="minorHAnsi" w:cstheme="minorHAnsi"/>
                <w:sz w:val="20"/>
                <w:szCs w:val="20"/>
              </w:rPr>
              <w:t xml:space="preserve"> against the order.</w:t>
            </w:r>
          </w:p>
          <w:p w:rsidR="007C3E9E" w:rsidRPr="00D25C6C" w:rsidRDefault="007C3E9E" w:rsidP="00B96DEA">
            <w:pPr>
              <w:jc w:val="both"/>
              <w:rPr>
                <w:rFonts w:asciiTheme="minorHAnsi" w:hAnsiTheme="minorHAnsi" w:cstheme="minorHAnsi"/>
                <w:sz w:val="20"/>
                <w:szCs w:val="20"/>
              </w:rPr>
            </w:pPr>
            <w:bookmarkStart w:id="12" w:name="_GoBack"/>
            <w:bookmarkEnd w:id="12"/>
          </w:p>
          <w:p w:rsidR="007C3E9E" w:rsidRPr="00D25C6C" w:rsidRDefault="007C3E9E" w:rsidP="00B96DEA">
            <w:pPr>
              <w:jc w:val="both"/>
              <w:rPr>
                <w:rFonts w:asciiTheme="minorHAnsi" w:hAnsiTheme="minorHAnsi" w:cstheme="minorHAnsi"/>
                <w:sz w:val="20"/>
                <w:szCs w:val="20"/>
              </w:rPr>
            </w:pPr>
          </w:p>
        </w:tc>
      </w:tr>
    </w:tbl>
    <w:p w:rsidR="000E41DC" w:rsidRPr="00D25C6C" w:rsidRDefault="000E41DC" w:rsidP="00B96DEA">
      <w:pPr>
        <w:ind w:firstLine="720"/>
        <w:jc w:val="both"/>
        <w:rPr>
          <w:rFonts w:asciiTheme="minorHAnsi" w:hAnsiTheme="minorHAnsi" w:cstheme="minorHAnsi"/>
          <w:sz w:val="20"/>
          <w:szCs w:val="20"/>
        </w:rPr>
      </w:pPr>
    </w:p>
    <w:p w:rsidR="0028096A" w:rsidRPr="00D25C6C" w:rsidRDefault="00CC3C9B" w:rsidP="0028096A">
      <w:pPr>
        <w:pStyle w:val="Default"/>
        <w:jc w:val="both"/>
        <w:rPr>
          <w:rFonts w:asciiTheme="minorHAnsi" w:hAnsiTheme="minorHAnsi" w:cstheme="minorHAnsi"/>
          <w:color w:val="auto"/>
          <w:sz w:val="20"/>
          <w:szCs w:val="20"/>
        </w:rPr>
      </w:pPr>
      <w:r w:rsidRPr="00D25C6C">
        <w:rPr>
          <w:rFonts w:asciiTheme="minorHAnsi" w:hAnsiTheme="minorHAnsi" w:cstheme="minorHAnsi"/>
          <w:color w:val="auto"/>
          <w:sz w:val="20"/>
          <w:szCs w:val="20"/>
        </w:rPr>
        <w:t xml:space="preserve">Redacted version issued </w:t>
      </w:r>
      <w:r w:rsidR="007D3A93" w:rsidRPr="00D25C6C">
        <w:rPr>
          <w:rFonts w:asciiTheme="minorHAnsi" w:hAnsiTheme="minorHAnsi" w:cstheme="minorHAnsi"/>
          <w:color w:val="auto"/>
          <w:sz w:val="20"/>
          <w:szCs w:val="20"/>
        </w:rPr>
        <w:t>for placement o</w:t>
      </w:r>
      <w:r w:rsidR="007D7286" w:rsidRPr="00D25C6C">
        <w:rPr>
          <w:rFonts w:asciiTheme="minorHAnsi" w:hAnsiTheme="minorHAnsi" w:cstheme="minorHAnsi"/>
          <w:color w:val="auto"/>
          <w:sz w:val="20"/>
          <w:szCs w:val="20"/>
        </w:rPr>
        <w:t>n the</w:t>
      </w:r>
      <w:r w:rsidR="007D3A93" w:rsidRPr="00D25C6C">
        <w:rPr>
          <w:rFonts w:asciiTheme="minorHAnsi" w:hAnsiTheme="minorHAnsi" w:cstheme="minorHAnsi"/>
          <w:color w:val="auto"/>
          <w:sz w:val="20"/>
          <w:szCs w:val="20"/>
        </w:rPr>
        <w:t xml:space="preserve"> website of the Commission. </w:t>
      </w:r>
    </w:p>
    <w:sectPr w:rsidR="0028096A" w:rsidRPr="00D25C6C" w:rsidSect="00383328">
      <w:headerReference w:type="default" r:id="rId8"/>
      <w:footerReference w:type="default" r:id="rId9"/>
      <w:footerReference w:type="first" r:id="rId10"/>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D61" w:rsidRDefault="00814D61" w:rsidP="009F3AF3">
      <w:r>
        <w:separator/>
      </w:r>
    </w:p>
  </w:endnote>
  <w:endnote w:type="continuationSeparator" w:id="0">
    <w:p w:rsidR="00814D61" w:rsidRDefault="00814D61"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12" w:rsidRPr="007B1363" w:rsidRDefault="00026C1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026C12" w:rsidRPr="007B1363" w:rsidRDefault="00026C1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w:t>
    </w:r>
    <w:r w:rsidR="00B95B66">
      <w:rPr>
        <w:rFonts w:ascii="Times New Roman" w:hAnsi="Times New Roman" w:cs="Times New Roman"/>
        <w:spacing w:val="10"/>
        <w:sz w:val="18"/>
        <w:szCs w:val="18"/>
      </w:rPr>
      <w:t>: 051-9207091-4,</w:t>
    </w:r>
    <w:r>
      <w:rPr>
        <w:rFonts w:ascii="Times New Roman" w:hAnsi="Times New Roman" w:cs="Times New Roman"/>
        <w:spacing w:val="10"/>
        <w:sz w:val="18"/>
        <w:szCs w:val="18"/>
      </w:rPr>
      <w:t xml:space="preserve"> </w:t>
    </w:r>
    <w:r>
      <w:rPr>
        <w:rFonts w:ascii="Times New Roman" w:eastAsia="SimSun" w:hAnsi="Times New Roman" w:cs="Times New Roman"/>
        <w:iCs/>
        <w:spacing w:val="10"/>
        <w:sz w:val="18"/>
        <w:szCs w:val="18"/>
        <w:lang w:val="fr-FR"/>
      </w:rPr>
      <w:t>Fax: 0</w:t>
    </w:r>
    <w:r w:rsidRPr="007B1363">
      <w:rPr>
        <w:rFonts w:ascii="Times New Roman" w:eastAsia="SimSun" w:hAnsi="Times New Roman" w:cs="Times New Roman"/>
        <w:iCs/>
        <w:spacing w:val="10"/>
        <w:sz w:val="18"/>
        <w:szCs w:val="18"/>
        <w:lang w:val="fr-FR"/>
      </w:rPr>
      <w:t>51-91004</w:t>
    </w:r>
    <w:r w:rsidR="00B95B66">
      <w:rPr>
        <w:rFonts w:ascii="Times New Roman" w:eastAsia="SimSun" w:hAnsi="Times New Roman" w:cs="Times New Roman"/>
        <w:iCs/>
        <w:spacing w:val="10"/>
        <w:sz w:val="18"/>
        <w:szCs w:val="18"/>
        <w:lang w:val="fr-FR"/>
      </w:rPr>
      <w:t>77</w:t>
    </w:r>
  </w:p>
  <w:p w:rsidR="00026C12" w:rsidRPr="007B1363" w:rsidRDefault="00026C12" w:rsidP="007B1363">
    <w:pPr>
      <w:pStyle w:val="Footer"/>
      <w:tabs>
        <w:tab w:val="clear" w:pos="4680"/>
        <w:tab w:val="clear" w:pos="9360"/>
        <w:tab w:val="right" w:pos="9000"/>
      </w:tabs>
      <w:jc w:val="both"/>
      <w:rPr>
        <w:rFonts w:ascii="Times New Roman" w:hAnsi="Times New Roman" w:cs="Times New Roman"/>
        <w:b/>
        <w:bCs/>
        <w:sz w:val="18"/>
        <w:szCs w:val="18"/>
      </w:rPr>
    </w:pPr>
    <w:r w:rsidRPr="007B1363">
      <w:rPr>
        <w:rFonts w:asciiTheme="majorBidi" w:hAnsiTheme="majorBidi" w:cstheme="majorBidi"/>
        <w:b/>
        <w:bCs/>
        <w:sz w:val="18"/>
        <w:szCs w:val="18"/>
      </w:rPr>
      <w:t xml:space="preserve"> </w:t>
    </w: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Pr="007B1363">
      <w:rPr>
        <w:rFonts w:ascii="Times New Roman" w:hAnsi="Times New Roman" w:cs="Times New Roman"/>
        <w:b/>
        <w:bCs/>
        <w:sz w:val="18"/>
        <w:szCs w:val="18"/>
      </w:rPr>
      <w:fldChar w:fldCharType="separate"/>
    </w:r>
    <w:r w:rsidR="003F5502">
      <w:rPr>
        <w:rFonts w:ascii="Times New Roman" w:hAnsi="Times New Roman" w:cs="Times New Roman"/>
        <w:b/>
        <w:bCs/>
        <w:noProof/>
        <w:sz w:val="18"/>
        <w:szCs w:val="18"/>
      </w:rPr>
      <w:t>5</w:t>
    </w:r>
    <w:r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NUMPAGES  \* Arabic  \* MERGEFORMAT </w:instrText>
    </w:r>
    <w:r w:rsidRPr="007B1363">
      <w:rPr>
        <w:rFonts w:ascii="Times New Roman" w:hAnsi="Times New Roman" w:cs="Times New Roman"/>
        <w:b/>
        <w:bCs/>
        <w:sz w:val="18"/>
        <w:szCs w:val="18"/>
      </w:rPr>
      <w:fldChar w:fldCharType="separate"/>
    </w:r>
    <w:r w:rsidR="003F5502">
      <w:rPr>
        <w:rFonts w:ascii="Times New Roman" w:hAnsi="Times New Roman" w:cs="Times New Roman"/>
        <w:b/>
        <w:bCs/>
        <w:noProof/>
        <w:sz w:val="18"/>
        <w:szCs w:val="18"/>
      </w:rPr>
      <w:t>5</w:t>
    </w:r>
    <w:r w:rsidRPr="007B1363">
      <w:rPr>
        <w:rFonts w:ascii="Times New Roman" w:hAnsi="Times New Roman" w:cs="Times New Roman"/>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12" w:rsidRPr="00CC7E90" w:rsidRDefault="00026C1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D61" w:rsidRDefault="00814D61" w:rsidP="009F3AF3">
      <w:r>
        <w:separator/>
      </w:r>
    </w:p>
  </w:footnote>
  <w:footnote w:type="continuationSeparator" w:id="0">
    <w:p w:rsidR="00814D61" w:rsidRDefault="00814D61"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12" w:rsidRDefault="00026C12" w:rsidP="00FD17F4">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4717240D" wp14:editId="5DCED865">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color w:val="116C65"/>
        <w:sz w:val="34"/>
        <w:szCs w:val="34"/>
      </w:rPr>
      <w:t>Securities and Exchange Commission of Pakistan</w:t>
    </w:r>
  </w:p>
  <w:p w:rsidR="00026C12" w:rsidRDefault="004F5FDB"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D677E2" w:rsidRDefault="00D677E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026C12" w:rsidRPr="00C816D1" w:rsidRDefault="00814D61" w:rsidP="00C816D1">
    <w:pPr>
      <w:jc w:val="center"/>
      <w:rPr>
        <w:rFonts w:ascii="Myriad Pro" w:hAnsi="Myriad Pro"/>
        <w:color w:val="116C65"/>
      </w:rPr>
    </w:pPr>
    <w:r>
      <w:rPr>
        <w:rFonts w:ascii="Myriad Pro" w:hAnsi="Myriad Pro"/>
        <w:color w:val="116C65"/>
      </w:rPr>
      <w:pict w14:anchorId="63507414">
        <v:rect id="_x0000_i1025" style="width:454.25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1"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933383"/>
    <w:multiLevelType w:val="hybridMultilevel"/>
    <w:tmpl w:val="9FD891BC"/>
    <w:lvl w:ilvl="0" w:tplc="665C325E">
      <w:start w:val="1"/>
      <w:numFmt w:val="lowerLetter"/>
      <w:lvlText w:val="(%1)"/>
      <w:lvlJc w:val="left"/>
      <w:pPr>
        <w:ind w:left="610" w:hanging="36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16"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CA3A56"/>
    <w:multiLevelType w:val="hybridMultilevel"/>
    <w:tmpl w:val="65E81304"/>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8" w15:restartNumberingAfterBreak="0">
    <w:nsid w:val="5E302DEC"/>
    <w:multiLevelType w:val="hybridMultilevel"/>
    <w:tmpl w:val="16760334"/>
    <w:lvl w:ilvl="0" w:tplc="55A06690">
      <w:start w:val="10"/>
      <w:numFmt w:val="decimal"/>
      <w:lvlText w:val="%1."/>
      <w:lvlJc w:val="left"/>
      <w:pPr>
        <w:ind w:left="1069" w:hanging="360"/>
      </w:pPr>
      <w:rPr>
        <w:rFonts w:cstheme="minorHAns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6163FA"/>
    <w:multiLevelType w:val="hybridMultilevel"/>
    <w:tmpl w:val="74A0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11"/>
  </w:num>
  <w:num w:numId="6">
    <w:abstractNumId w:val="5"/>
  </w:num>
  <w:num w:numId="7">
    <w:abstractNumId w:val="10"/>
  </w:num>
  <w:num w:numId="8">
    <w:abstractNumId w:val="13"/>
  </w:num>
  <w:num w:numId="9">
    <w:abstractNumId w:val="24"/>
  </w:num>
  <w:num w:numId="10">
    <w:abstractNumId w:val="2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3"/>
  </w:num>
  <w:num w:numId="19">
    <w:abstractNumId w:val="16"/>
  </w:num>
  <w:num w:numId="20">
    <w:abstractNumId w:val="14"/>
  </w:num>
  <w:num w:numId="21">
    <w:abstractNumId w:val="4"/>
  </w:num>
  <w:num w:numId="22">
    <w:abstractNumId w:val="20"/>
  </w:num>
  <w:num w:numId="23">
    <w:abstractNumId w:val="15"/>
  </w:num>
  <w:num w:numId="24">
    <w:abstractNumId w:val="17"/>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8F"/>
    <w:rsid w:val="00000295"/>
    <w:rsid w:val="000008EC"/>
    <w:rsid w:val="000009F2"/>
    <w:rsid w:val="00002D78"/>
    <w:rsid w:val="00004CC8"/>
    <w:rsid w:val="000053F3"/>
    <w:rsid w:val="000062AA"/>
    <w:rsid w:val="00006B03"/>
    <w:rsid w:val="0000711B"/>
    <w:rsid w:val="00007E31"/>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6E5D"/>
    <w:rsid w:val="000371FA"/>
    <w:rsid w:val="00037D2B"/>
    <w:rsid w:val="00040A6B"/>
    <w:rsid w:val="00040D97"/>
    <w:rsid w:val="00042387"/>
    <w:rsid w:val="00043070"/>
    <w:rsid w:val="00043152"/>
    <w:rsid w:val="00043DBF"/>
    <w:rsid w:val="000443B4"/>
    <w:rsid w:val="000447D5"/>
    <w:rsid w:val="0005038B"/>
    <w:rsid w:val="00050D53"/>
    <w:rsid w:val="0005177E"/>
    <w:rsid w:val="00053610"/>
    <w:rsid w:val="000539C4"/>
    <w:rsid w:val="0005400B"/>
    <w:rsid w:val="0005447A"/>
    <w:rsid w:val="00054CFB"/>
    <w:rsid w:val="00055F22"/>
    <w:rsid w:val="00056775"/>
    <w:rsid w:val="0006086A"/>
    <w:rsid w:val="000611E0"/>
    <w:rsid w:val="00061908"/>
    <w:rsid w:val="00061BDD"/>
    <w:rsid w:val="0006280D"/>
    <w:rsid w:val="00064D36"/>
    <w:rsid w:val="00065149"/>
    <w:rsid w:val="00065510"/>
    <w:rsid w:val="000658CE"/>
    <w:rsid w:val="00066AEE"/>
    <w:rsid w:val="00070B86"/>
    <w:rsid w:val="000752F8"/>
    <w:rsid w:val="000764D7"/>
    <w:rsid w:val="0008146F"/>
    <w:rsid w:val="00082947"/>
    <w:rsid w:val="00083008"/>
    <w:rsid w:val="000839D9"/>
    <w:rsid w:val="000848DB"/>
    <w:rsid w:val="00084ED7"/>
    <w:rsid w:val="00085E92"/>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200"/>
    <w:rsid w:val="000A0302"/>
    <w:rsid w:val="000A04E6"/>
    <w:rsid w:val="000A26FC"/>
    <w:rsid w:val="000A3722"/>
    <w:rsid w:val="000A4341"/>
    <w:rsid w:val="000A4B45"/>
    <w:rsid w:val="000B1AB7"/>
    <w:rsid w:val="000B2530"/>
    <w:rsid w:val="000B25A4"/>
    <w:rsid w:val="000B299D"/>
    <w:rsid w:val="000B29CB"/>
    <w:rsid w:val="000B4806"/>
    <w:rsid w:val="000C0687"/>
    <w:rsid w:val="000C17A1"/>
    <w:rsid w:val="000C3014"/>
    <w:rsid w:val="000C3393"/>
    <w:rsid w:val="000C5799"/>
    <w:rsid w:val="000C7230"/>
    <w:rsid w:val="000C7AC5"/>
    <w:rsid w:val="000C7D48"/>
    <w:rsid w:val="000D0CC5"/>
    <w:rsid w:val="000D22A5"/>
    <w:rsid w:val="000D27D7"/>
    <w:rsid w:val="000D3FF2"/>
    <w:rsid w:val="000D653F"/>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20C42"/>
    <w:rsid w:val="00120C7A"/>
    <w:rsid w:val="001213F7"/>
    <w:rsid w:val="001221D0"/>
    <w:rsid w:val="00122256"/>
    <w:rsid w:val="00122AEB"/>
    <w:rsid w:val="00123C22"/>
    <w:rsid w:val="00125F5D"/>
    <w:rsid w:val="001263F8"/>
    <w:rsid w:val="001309B8"/>
    <w:rsid w:val="00130ACF"/>
    <w:rsid w:val="00131F1B"/>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53BF"/>
    <w:rsid w:val="001456F1"/>
    <w:rsid w:val="00150A17"/>
    <w:rsid w:val="00150B51"/>
    <w:rsid w:val="00152080"/>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F0E"/>
    <w:rsid w:val="001A0452"/>
    <w:rsid w:val="001A0900"/>
    <w:rsid w:val="001A0A09"/>
    <w:rsid w:val="001A1457"/>
    <w:rsid w:val="001B0099"/>
    <w:rsid w:val="001B18D1"/>
    <w:rsid w:val="001B21B6"/>
    <w:rsid w:val="001B2643"/>
    <w:rsid w:val="001B2CCF"/>
    <w:rsid w:val="001B487F"/>
    <w:rsid w:val="001B4967"/>
    <w:rsid w:val="001B49EE"/>
    <w:rsid w:val="001C04A9"/>
    <w:rsid w:val="001C0936"/>
    <w:rsid w:val="001C0DD1"/>
    <w:rsid w:val="001C14BD"/>
    <w:rsid w:val="001C1F3C"/>
    <w:rsid w:val="001C231A"/>
    <w:rsid w:val="001C235D"/>
    <w:rsid w:val="001C3AFC"/>
    <w:rsid w:val="001C6234"/>
    <w:rsid w:val="001D1219"/>
    <w:rsid w:val="001D13EB"/>
    <w:rsid w:val="001D16A1"/>
    <w:rsid w:val="001D2675"/>
    <w:rsid w:val="001D287C"/>
    <w:rsid w:val="001D4A11"/>
    <w:rsid w:val="001D5381"/>
    <w:rsid w:val="001D6371"/>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E4C"/>
    <w:rsid w:val="001F0419"/>
    <w:rsid w:val="001F22B0"/>
    <w:rsid w:val="001F41E5"/>
    <w:rsid w:val="001F5690"/>
    <w:rsid w:val="001F6C78"/>
    <w:rsid w:val="001F7262"/>
    <w:rsid w:val="001F7C1D"/>
    <w:rsid w:val="00201250"/>
    <w:rsid w:val="002014F1"/>
    <w:rsid w:val="00201BF0"/>
    <w:rsid w:val="002022F8"/>
    <w:rsid w:val="00205787"/>
    <w:rsid w:val="002070F2"/>
    <w:rsid w:val="00211BC0"/>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6B10"/>
    <w:rsid w:val="00227D4A"/>
    <w:rsid w:val="00230319"/>
    <w:rsid w:val="0023084F"/>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7C32"/>
    <w:rsid w:val="002916DA"/>
    <w:rsid w:val="00292131"/>
    <w:rsid w:val="00293CC4"/>
    <w:rsid w:val="00295D0D"/>
    <w:rsid w:val="0029705D"/>
    <w:rsid w:val="00297691"/>
    <w:rsid w:val="00297CCF"/>
    <w:rsid w:val="002A01BC"/>
    <w:rsid w:val="002A085B"/>
    <w:rsid w:val="002A1034"/>
    <w:rsid w:val="002A1B70"/>
    <w:rsid w:val="002A1E84"/>
    <w:rsid w:val="002A22E6"/>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08"/>
    <w:rsid w:val="002C3BA2"/>
    <w:rsid w:val="002C42EA"/>
    <w:rsid w:val="002C4D5B"/>
    <w:rsid w:val="002C50DB"/>
    <w:rsid w:val="002C6D76"/>
    <w:rsid w:val="002D1686"/>
    <w:rsid w:val="002D16B2"/>
    <w:rsid w:val="002D1820"/>
    <w:rsid w:val="002D375C"/>
    <w:rsid w:val="002D41EF"/>
    <w:rsid w:val="002D4614"/>
    <w:rsid w:val="002D4FB7"/>
    <w:rsid w:val="002D5D80"/>
    <w:rsid w:val="002E088F"/>
    <w:rsid w:val="002E17B4"/>
    <w:rsid w:val="002E1EDF"/>
    <w:rsid w:val="002E41C3"/>
    <w:rsid w:val="002E5A6A"/>
    <w:rsid w:val="002F08F4"/>
    <w:rsid w:val="002F143C"/>
    <w:rsid w:val="002F35A6"/>
    <w:rsid w:val="002F7806"/>
    <w:rsid w:val="002F7E81"/>
    <w:rsid w:val="00304F34"/>
    <w:rsid w:val="00305191"/>
    <w:rsid w:val="003060B4"/>
    <w:rsid w:val="00306DE5"/>
    <w:rsid w:val="00310BF1"/>
    <w:rsid w:val="003116C8"/>
    <w:rsid w:val="00311A4B"/>
    <w:rsid w:val="00312E33"/>
    <w:rsid w:val="00314F77"/>
    <w:rsid w:val="00315835"/>
    <w:rsid w:val="00316786"/>
    <w:rsid w:val="003167D5"/>
    <w:rsid w:val="00317DEA"/>
    <w:rsid w:val="003204D1"/>
    <w:rsid w:val="00320DDF"/>
    <w:rsid w:val="00322DA9"/>
    <w:rsid w:val="00324B64"/>
    <w:rsid w:val="00324FBC"/>
    <w:rsid w:val="00325314"/>
    <w:rsid w:val="003256AA"/>
    <w:rsid w:val="003264A2"/>
    <w:rsid w:val="003279B8"/>
    <w:rsid w:val="003279C9"/>
    <w:rsid w:val="00327CFB"/>
    <w:rsid w:val="00330B50"/>
    <w:rsid w:val="00330C72"/>
    <w:rsid w:val="003314A7"/>
    <w:rsid w:val="00332B8C"/>
    <w:rsid w:val="00335886"/>
    <w:rsid w:val="003359CE"/>
    <w:rsid w:val="00336658"/>
    <w:rsid w:val="00336C93"/>
    <w:rsid w:val="00340B77"/>
    <w:rsid w:val="00342939"/>
    <w:rsid w:val="00342FBF"/>
    <w:rsid w:val="00343779"/>
    <w:rsid w:val="003446A8"/>
    <w:rsid w:val="003475A7"/>
    <w:rsid w:val="00347B7C"/>
    <w:rsid w:val="00347C92"/>
    <w:rsid w:val="00347DEE"/>
    <w:rsid w:val="003500A6"/>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A5A"/>
    <w:rsid w:val="00380BD0"/>
    <w:rsid w:val="00380D8A"/>
    <w:rsid w:val="00380FEF"/>
    <w:rsid w:val="00383328"/>
    <w:rsid w:val="00383A7E"/>
    <w:rsid w:val="0038497F"/>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694"/>
    <w:rsid w:val="003C251F"/>
    <w:rsid w:val="003C2B21"/>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63A0"/>
    <w:rsid w:val="003E6D55"/>
    <w:rsid w:val="003E7AAB"/>
    <w:rsid w:val="003F06D9"/>
    <w:rsid w:val="003F3BE8"/>
    <w:rsid w:val="003F4A06"/>
    <w:rsid w:val="003F4DC3"/>
    <w:rsid w:val="003F500F"/>
    <w:rsid w:val="003F5208"/>
    <w:rsid w:val="003F5502"/>
    <w:rsid w:val="003F5E4B"/>
    <w:rsid w:val="003F7373"/>
    <w:rsid w:val="003F7BC4"/>
    <w:rsid w:val="0040024C"/>
    <w:rsid w:val="00401069"/>
    <w:rsid w:val="00401AC1"/>
    <w:rsid w:val="00402862"/>
    <w:rsid w:val="00403A79"/>
    <w:rsid w:val="00403C5E"/>
    <w:rsid w:val="00404B39"/>
    <w:rsid w:val="00404E4E"/>
    <w:rsid w:val="0040571A"/>
    <w:rsid w:val="0040640D"/>
    <w:rsid w:val="00407085"/>
    <w:rsid w:val="00410206"/>
    <w:rsid w:val="00410351"/>
    <w:rsid w:val="0041270C"/>
    <w:rsid w:val="00413EAB"/>
    <w:rsid w:val="004144D6"/>
    <w:rsid w:val="0041612F"/>
    <w:rsid w:val="004167B1"/>
    <w:rsid w:val="00417970"/>
    <w:rsid w:val="00420B79"/>
    <w:rsid w:val="00420BD4"/>
    <w:rsid w:val="00423177"/>
    <w:rsid w:val="00425C9C"/>
    <w:rsid w:val="004262F6"/>
    <w:rsid w:val="00426B28"/>
    <w:rsid w:val="00430055"/>
    <w:rsid w:val="004306EC"/>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57B61"/>
    <w:rsid w:val="00462C7F"/>
    <w:rsid w:val="00462CB0"/>
    <w:rsid w:val="00465FF6"/>
    <w:rsid w:val="00466CBA"/>
    <w:rsid w:val="00466E1F"/>
    <w:rsid w:val="00467216"/>
    <w:rsid w:val="004679F2"/>
    <w:rsid w:val="00470FAD"/>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340D"/>
    <w:rsid w:val="004A3516"/>
    <w:rsid w:val="004A6579"/>
    <w:rsid w:val="004A6C07"/>
    <w:rsid w:val="004A78D9"/>
    <w:rsid w:val="004B003B"/>
    <w:rsid w:val="004B05D9"/>
    <w:rsid w:val="004B228F"/>
    <w:rsid w:val="004B2C60"/>
    <w:rsid w:val="004B3E78"/>
    <w:rsid w:val="004B45AE"/>
    <w:rsid w:val="004B4616"/>
    <w:rsid w:val="004B4D2F"/>
    <w:rsid w:val="004C1300"/>
    <w:rsid w:val="004C39F9"/>
    <w:rsid w:val="004C3B2D"/>
    <w:rsid w:val="004C750C"/>
    <w:rsid w:val="004D24C3"/>
    <w:rsid w:val="004D258E"/>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D75"/>
    <w:rsid w:val="005101F3"/>
    <w:rsid w:val="00510733"/>
    <w:rsid w:val="005109D7"/>
    <w:rsid w:val="00513CFA"/>
    <w:rsid w:val="00515105"/>
    <w:rsid w:val="005155E8"/>
    <w:rsid w:val="00515BFB"/>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55B6"/>
    <w:rsid w:val="005501A9"/>
    <w:rsid w:val="00550274"/>
    <w:rsid w:val="0055087E"/>
    <w:rsid w:val="00550E88"/>
    <w:rsid w:val="00551EEF"/>
    <w:rsid w:val="00551F2F"/>
    <w:rsid w:val="0055227D"/>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B39"/>
    <w:rsid w:val="00575612"/>
    <w:rsid w:val="00575811"/>
    <w:rsid w:val="00576BC0"/>
    <w:rsid w:val="00581BFF"/>
    <w:rsid w:val="00582636"/>
    <w:rsid w:val="00582A9B"/>
    <w:rsid w:val="0058317E"/>
    <w:rsid w:val="00586054"/>
    <w:rsid w:val="00586B1D"/>
    <w:rsid w:val="005902D6"/>
    <w:rsid w:val="00590902"/>
    <w:rsid w:val="00591952"/>
    <w:rsid w:val="0059328F"/>
    <w:rsid w:val="0059498C"/>
    <w:rsid w:val="005964E9"/>
    <w:rsid w:val="00597472"/>
    <w:rsid w:val="00597F88"/>
    <w:rsid w:val="005A0F94"/>
    <w:rsid w:val="005A12EA"/>
    <w:rsid w:val="005A35CD"/>
    <w:rsid w:val="005A35F5"/>
    <w:rsid w:val="005A422C"/>
    <w:rsid w:val="005A5059"/>
    <w:rsid w:val="005A58FC"/>
    <w:rsid w:val="005A7867"/>
    <w:rsid w:val="005B0033"/>
    <w:rsid w:val="005B0876"/>
    <w:rsid w:val="005B35A6"/>
    <w:rsid w:val="005B3EEA"/>
    <w:rsid w:val="005B3FE0"/>
    <w:rsid w:val="005B5324"/>
    <w:rsid w:val="005B555B"/>
    <w:rsid w:val="005B7A0B"/>
    <w:rsid w:val="005C2253"/>
    <w:rsid w:val="005C2531"/>
    <w:rsid w:val="005C2FB2"/>
    <w:rsid w:val="005C6C7B"/>
    <w:rsid w:val="005C77B4"/>
    <w:rsid w:val="005C7F94"/>
    <w:rsid w:val="005D17B2"/>
    <w:rsid w:val="005D3FE8"/>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1102"/>
    <w:rsid w:val="005F11FE"/>
    <w:rsid w:val="005F16CE"/>
    <w:rsid w:val="005F4D01"/>
    <w:rsid w:val="005F559C"/>
    <w:rsid w:val="005F6ACF"/>
    <w:rsid w:val="0060160C"/>
    <w:rsid w:val="0060277A"/>
    <w:rsid w:val="00604694"/>
    <w:rsid w:val="00604EF3"/>
    <w:rsid w:val="0060708C"/>
    <w:rsid w:val="00610B0C"/>
    <w:rsid w:val="00610B47"/>
    <w:rsid w:val="00611681"/>
    <w:rsid w:val="0061205B"/>
    <w:rsid w:val="006131B3"/>
    <w:rsid w:val="00613D8F"/>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BD5"/>
    <w:rsid w:val="00636D83"/>
    <w:rsid w:val="0063703B"/>
    <w:rsid w:val="00640CCA"/>
    <w:rsid w:val="00641FDA"/>
    <w:rsid w:val="006431B7"/>
    <w:rsid w:val="006434C3"/>
    <w:rsid w:val="006449A4"/>
    <w:rsid w:val="0064633F"/>
    <w:rsid w:val="006471C3"/>
    <w:rsid w:val="0064725C"/>
    <w:rsid w:val="00647942"/>
    <w:rsid w:val="006505E7"/>
    <w:rsid w:val="00651C95"/>
    <w:rsid w:val="00651F09"/>
    <w:rsid w:val="00653DCA"/>
    <w:rsid w:val="0065543F"/>
    <w:rsid w:val="00655A89"/>
    <w:rsid w:val="006569FB"/>
    <w:rsid w:val="0065703D"/>
    <w:rsid w:val="0066069F"/>
    <w:rsid w:val="00660DE1"/>
    <w:rsid w:val="00661974"/>
    <w:rsid w:val="00661CB4"/>
    <w:rsid w:val="00663310"/>
    <w:rsid w:val="00663718"/>
    <w:rsid w:val="00664D6C"/>
    <w:rsid w:val="0066595D"/>
    <w:rsid w:val="006672B0"/>
    <w:rsid w:val="0067047A"/>
    <w:rsid w:val="006707C0"/>
    <w:rsid w:val="00671766"/>
    <w:rsid w:val="00671893"/>
    <w:rsid w:val="00672BCD"/>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67D"/>
    <w:rsid w:val="00697FCC"/>
    <w:rsid w:val="006A063D"/>
    <w:rsid w:val="006A2DF8"/>
    <w:rsid w:val="006A4213"/>
    <w:rsid w:val="006A59E4"/>
    <w:rsid w:val="006A6750"/>
    <w:rsid w:val="006A6824"/>
    <w:rsid w:val="006A7C0A"/>
    <w:rsid w:val="006B1FC6"/>
    <w:rsid w:val="006B2926"/>
    <w:rsid w:val="006B3531"/>
    <w:rsid w:val="006B3740"/>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6D9"/>
    <w:rsid w:val="006D78A4"/>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2904"/>
    <w:rsid w:val="007532B0"/>
    <w:rsid w:val="00753E16"/>
    <w:rsid w:val="00754E9D"/>
    <w:rsid w:val="007551FB"/>
    <w:rsid w:val="0075616F"/>
    <w:rsid w:val="007565BC"/>
    <w:rsid w:val="00757AB5"/>
    <w:rsid w:val="00757D7A"/>
    <w:rsid w:val="00760319"/>
    <w:rsid w:val="0076111C"/>
    <w:rsid w:val="00762F9B"/>
    <w:rsid w:val="00764B56"/>
    <w:rsid w:val="00764BAE"/>
    <w:rsid w:val="00765577"/>
    <w:rsid w:val="0077008B"/>
    <w:rsid w:val="0077084C"/>
    <w:rsid w:val="00771D79"/>
    <w:rsid w:val="00776423"/>
    <w:rsid w:val="00776DB7"/>
    <w:rsid w:val="0078135C"/>
    <w:rsid w:val="007825A6"/>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1363"/>
    <w:rsid w:val="007B2EBE"/>
    <w:rsid w:val="007B3324"/>
    <w:rsid w:val="007B3368"/>
    <w:rsid w:val="007B7264"/>
    <w:rsid w:val="007B7DA9"/>
    <w:rsid w:val="007C02A2"/>
    <w:rsid w:val="007C076A"/>
    <w:rsid w:val="007C17B7"/>
    <w:rsid w:val="007C1822"/>
    <w:rsid w:val="007C3E9E"/>
    <w:rsid w:val="007C439A"/>
    <w:rsid w:val="007C584F"/>
    <w:rsid w:val="007C61CA"/>
    <w:rsid w:val="007C7162"/>
    <w:rsid w:val="007D0070"/>
    <w:rsid w:val="007D0F55"/>
    <w:rsid w:val="007D33B9"/>
    <w:rsid w:val="007D3413"/>
    <w:rsid w:val="007D3A93"/>
    <w:rsid w:val="007D4EA8"/>
    <w:rsid w:val="007D56B9"/>
    <w:rsid w:val="007D6F32"/>
    <w:rsid w:val="007D7286"/>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4D61"/>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141E"/>
    <w:rsid w:val="008617C2"/>
    <w:rsid w:val="00861F21"/>
    <w:rsid w:val="0086536E"/>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D80"/>
    <w:rsid w:val="008B3B67"/>
    <w:rsid w:val="008B56F9"/>
    <w:rsid w:val="008B7ABA"/>
    <w:rsid w:val="008C056F"/>
    <w:rsid w:val="008C29E2"/>
    <w:rsid w:val="008C3569"/>
    <w:rsid w:val="008C430B"/>
    <w:rsid w:val="008C4846"/>
    <w:rsid w:val="008C5604"/>
    <w:rsid w:val="008D0749"/>
    <w:rsid w:val="008D3612"/>
    <w:rsid w:val="008D40D6"/>
    <w:rsid w:val="008D5AA7"/>
    <w:rsid w:val="008D7A1E"/>
    <w:rsid w:val="008E06F4"/>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4A91"/>
    <w:rsid w:val="0093577E"/>
    <w:rsid w:val="00935A43"/>
    <w:rsid w:val="00935A7B"/>
    <w:rsid w:val="00936528"/>
    <w:rsid w:val="00937705"/>
    <w:rsid w:val="00940A61"/>
    <w:rsid w:val="009411C4"/>
    <w:rsid w:val="00941549"/>
    <w:rsid w:val="009427A1"/>
    <w:rsid w:val="00945079"/>
    <w:rsid w:val="00946C06"/>
    <w:rsid w:val="00947896"/>
    <w:rsid w:val="00950A82"/>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69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53D3"/>
    <w:rsid w:val="009F7A5F"/>
    <w:rsid w:val="00A00C9D"/>
    <w:rsid w:val="00A014AB"/>
    <w:rsid w:val="00A02689"/>
    <w:rsid w:val="00A02E26"/>
    <w:rsid w:val="00A047E0"/>
    <w:rsid w:val="00A06923"/>
    <w:rsid w:val="00A06A45"/>
    <w:rsid w:val="00A07FD7"/>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9D1"/>
    <w:rsid w:val="00A62EA5"/>
    <w:rsid w:val="00A646A4"/>
    <w:rsid w:val="00A64C40"/>
    <w:rsid w:val="00A650A0"/>
    <w:rsid w:val="00A6595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26DD"/>
    <w:rsid w:val="00A84C93"/>
    <w:rsid w:val="00A852B0"/>
    <w:rsid w:val="00A85EB6"/>
    <w:rsid w:val="00A86DBF"/>
    <w:rsid w:val="00A86EA3"/>
    <w:rsid w:val="00A87CB9"/>
    <w:rsid w:val="00A909C2"/>
    <w:rsid w:val="00A91C7C"/>
    <w:rsid w:val="00A931FB"/>
    <w:rsid w:val="00A9445D"/>
    <w:rsid w:val="00A946D7"/>
    <w:rsid w:val="00A956B2"/>
    <w:rsid w:val="00A95717"/>
    <w:rsid w:val="00A95FA3"/>
    <w:rsid w:val="00A960C9"/>
    <w:rsid w:val="00A963EB"/>
    <w:rsid w:val="00AA04EA"/>
    <w:rsid w:val="00AA1558"/>
    <w:rsid w:val="00AA3505"/>
    <w:rsid w:val="00AA4797"/>
    <w:rsid w:val="00AA49E0"/>
    <w:rsid w:val="00AA6023"/>
    <w:rsid w:val="00AA6827"/>
    <w:rsid w:val="00AA74F1"/>
    <w:rsid w:val="00AB08D7"/>
    <w:rsid w:val="00AB17C4"/>
    <w:rsid w:val="00AB208F"/>
    <w:rsid w:val="00AB52FB"/>
    <w:rsid w:val="00AB6304"/>
    <w:rsid w:val="00AB78DB"/>
    <w:rsid w:val="00AC146F"/>
    <w:rsid w:val="00AC34C8"/>
    <w:rsid w:val="00AC5DC8"/>
    <w:rsid w:val="00AC5F82"/>
    <w:rsid w:val="00AC6378"/>
    <w:rsid w:val="00AC7093"/>
    <w:rsid w:val="00AC7B75"/>
    <w:rsid w:val="00AD063F"/>
    <w:rsid w:val="00AD32EB"/>
    <w:rsid w:val="00AD5959"/>
    <w:rsid w:val="00AD6945"/>
    <w:rsid w:val="00AD6C3A"/>
    <w:rsid w:val="00AD79E1"/>
    <w:rsid w:val="00AE386F"/>
    <w:rsid w:val="00AE43A4"/>
    <w:rsid w:val="00AE4748"/>
    <w:rsid w:val="00AE5480"/>
    <w:rsid w:val="00AE5B7C"/>
    <w:rsid w:val="00AE6A35"/>
    <w:rsid w:val="00AF0B86"/>
    <w:rsid w:val="00AF2002"/>
    <w:rsid w:val="00AF521C"/>
    <w:rsid w:val="00AF52BB"/>
    <w:rsid w:val="00AF60F3"/>
    <w:rsid w:val="00AF63A7"/>
    <w:rsid w:val="00AF738C"/>
    <w:rsid w:val="00B0078F"/>
    <w:rsid w:val="00B01E36"/>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5438"/>
    <w:rsid w:val="00B15DF6"/>
    <w:rsid w:val="00B15FA0"/>
    <w:rsid w:val="00B16A10"/>
    <w:rsid w:val="00B17E05"/>
    <w:rsid w:val="00B2020A"/>
    <w:rsid w:val="00B206E9"/>
    <w:rsid w:val="00B20BC4"/>
    <w:rsid w:val="00B20F8F"/>
    <w:rsid w:val="00B22E4D"/>
    <w:rsid w:val="00B23BAA"/>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A7899"/>
    <w:rsid w:val="00BB0AF8"/>
    <w:rsid w:val="00BB2E9A"/>
    <w:rsid w:val="00BB331A"/>
    <w:rsid w:val="00BB4C76"/>
    <w:rsid w:val="00BB511B"/>
    <w:rsid w:val="00BB53B2"/>
    <w:rsid w:val="00BB5949"/>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7E21"/>
    <w:rsid w:val="00C17F78"/>
    <w:rsid w:val="00C2040B"/>
    <w:rsid w:val="00C22C5C"/>
    <w:rsid w:val="00C2315A"/>
    <w:rsid w:val="00C2424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4449"/>
    <w:rsid w:val="00C44DF6"/>
    <w:rsid w:val="00C4593D"/>
    <w:rsid w:val="00C46842"/>
    <w:rsid w:val="00C50413"/>
    <w:rsid w:val="00C5084E"/>
    <w:rsid w:val="00C50977"/>
    <w:rsid w:val="00C529FB"/>
    <w:rsid w:val="00C537B3"/>
    <w:rsid w:val="00C53A3E"/>
    <w:rsid w:val="00C542EE"/>
    <w:rsid w:val="00C544F7"/>
    <w:rsid w:val="00C55709"/>
    <w:rsid w:val="00C56DF4"/>
    <w:rsid w:val="00C57484"/>
    <w:rsid w:val="00C57ED9"/>
    <w:rsid w:val="00C6027A"/>
    <w:rsid w:val="00C60B51"/>
    <w:rsid w:val="00C60C3F"/>
    <w:rsid w:val="00C61EDC"/>
    <w:rsid w:val="00C62E5A"/>
    <w:rsid w:val="00C64226"/>
    <w:rsid w:val="00C64493"/>
    <w:rsid w:val="00C660D0"/>
    <w:rsid w:val="00C66126"/>
    <w:rsid w:val="00C67397"/>
    <w:rsid w:val="00C712B4"/>
    <w:rsid w:val="00C73633"/>
    <w:rsid w:val="00C73AB8"/>
    <w:rsid w:val="00C73B95"/>
    <w:rsid w:val="00C7491C"/>
    <w:rsid w:val="00C756F0"/>
    <w:rsid w:val="00C75DD4"/>
    <w:rsid w:val="00C76088"/>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F02"/>
    <w:rsid w:val="00CA5076"/>
    <w:rsid w:val="00CA6048"/>
    <w:rsid w:val="00CA656A"/>
    <w:rsid w:val="00CA6CE6"/>
    <w:rsid w:val="00CA72AD"/>
    <w:rsid w:val="00CA7DBA"/>
    <w:rsid w:val="00CB0232"/>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E41"/>
    <w:rsid w:val="00CC3818"/>
    <w:rsid w:val="00CC3C9B"/>
    <w:rsid w:val="00CC4B9A"/>
    <w:rsid w:val="00CC7E90"/>
    <w:rsid w:val="00CD00C9"/>
    <w:rsid w:val="00CD1B90"/>
    <w:rsid w:val="00CD27D8"/>
    <w:rsid w:val="00CD3F9F"/>
    <w:rsid w:val="00CD5271"/>
    <w:rsid w:val="00CD6174"/>
    <w:rsid w:val="00CD61F6"/>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289F"/>
    <w:rsid w:val="00D22C59"/>
    <w:rsid w:val="00D2349E"/>
    <w:rsid w:val="00D23DB7"/>
    <w:rsid w:val="00D249BA"/>
    <w:rsid w:val="00D252CE"/>
    <w:rsid w:val="00D25827"/>
    <w:rsid w:val="00D25A50"/>
    <w:rsid w:val="00D25C6C"/>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274D"/>
    <w:rsid w:val="00D63B24"/>
    <w:rsid w:val="00D66B92"/>
    <w:rsid w:val="00D677E2"/>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6095"/>
    <w:rsid w:val="00DA7A41"/>
    <w:rsid w:val="00DA7B54"/>
    <w:rsid w:val="00DB0242"/>
    <w:rsid w:val="00DB0D5F"/>
    <w:rsid w:val="00DB1EB5"/>
    <w:rsid w:val="00DB2E71"/>
    <w:rsid w:val="00DB3588"/>
    <w:rsid w:val="00DB46D8"/>
    <w:rsid w:val="00DB4A04"/>
    <w:rsid w:val="00DB4A1E"/>
    <w:rsid w:val="00DB4EBF"/>
    <w:rsid w:val="00DB54F0"/>
    <w:rsid w:val="00DB6D0B"/>
    <w:rsid w:val="00DB7092"/>
    <w:rsid w:val="00DC46E2"/>
    <w:rsid w:val="00DC4909"/>
    <w:rsid w:val="00DC4E08"/>
    <w:rsid w:val="00DD06F5"/>
    <w:rsid w:val="00DD1826"/>
    <w:rsid w:val="00DD1FBD"/>
    <w:rsid w:val="00DD26AF"/>
    <w:rsid w:val="00DD375B"/>
    <w:rsid w:val="00DD38AC"/>
    <w:rsid w:val="00DD3FAF"/>
    <w:rsid w:val="00DD4F63"/>
    <w:rsid w:val="00DD5C65"/>
    <w:rsid w:val="00DD79CF"/>
    <w:rsid w:val="00DD7B14"/>
    <w:rsid w:val="00DE01C5"/>
    <w:rsid w:val="00DE01EE"/>
    <w:rsid w:val="00DE0958"/>
    <w:rsid w:val="00DE1B98"/>
    <w:rsid w:val="00DE1D26"/>
    <w:rsid w:val="00DE3739"/>
    <w:rsid w:val="00DE454B"/>
    <w:rsid w:val="00DE56D0"/>
    <w:rsid w:val="00DE5A3F"/>
    <w:rsid w:val="00DE6476"/>
    <w:rsid w:val="00DE64B0"/>
    <w:rsid w:val="00DE658E"/>
    <w:rsid w:val="00DE681C"/>
    <w:rsid w:val="00DE7D71"/>
    <w:rsid w:val="00DF1A25"/>
    <w:rsid w:val="00DF21EC"/>
    <w:rsid w:val="00DF4BDC"/>
    <w:rsid w:val="00DF5EDF"/>
    <w:rsid w:val="00DF6658"/>
    <w:rsid w:val="00DF7872"/>
    <w:rsid w:val="00DF7D3B"/>
    <w:rsid w:val="00E00926"/>
    <w:rsid w:val="00E00A94"/>
    <w:rsid w:val="00E00CFE"/>
    <w:rsid w:val="00E01626"/>
    <w:rsid w:val="00E02503"/>
    <w:rsid w:val="00E02642"/>
    <w:rsid w:val="00E03F7F"/>
    <w:rsid w:val="00E0613D"/>
    <w:rsid w:val="00E06B37"/>
    <w:rsid w:val="00E07119"/>
    <w:rsid w:val="00E0733B"/>
    <w:rsid w:val="00E07A42"/>
    <w:rsid w:val="00E116A1"/>
    <w:rsid w:val="00E11E5D"/>
    <w:rsid w:val="00E12B47"/>
    <w:rsid w:val="00E14DE9"/>
    <w:rsid w:val="00E15F10"/>
    <w:rsid w:val="00E16D0E"/>
    <w:rsid w:val="00E17D71"/>
    <w:rsid w:val="00E20121"/>
    <w:rsid w:val="00E2049C"/>
    <w:rsid w:val="00E20D72"/>
    <w:rsid w:val="00E21CFD"/>
    <w:rsid w:val="00E22052"/>
    <w:rsid w:val="00E2214C"/>
    <w:rsid w:val="00E23773"/>
    <w:rsid w:val="00E2404A"/>
    <w:rsid w:val="00E250EF"/>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EFB"/>
    <w:rsid w:val="00E537F3"/>
    <w:rsid w:val="00E54E12"/>
    <w:rsid w:val="00E56733"/>
    <w:rsid w:val="00E569EF"/>
    <w:rsid w:val="00E60038"/>
    <w:rsid w:val="00E6054A"/>
    <w:rsid w:val="00E60A92"/>
    <w:rsid w:val="00E60D2D"/>
    <w:rsid w:val="00E64072"/>
    <w:rsid w:val="00E6413A"/>
    <w:rsid w:val="00E64A6C"/>
    <w:rsid w:val="00E664E8"/>
    <w:rsid w:val="00E66F4A"/>
    <w:rsid w:val="00E703F4"/>
    <w:rsid w:val="00E70B65"/>
    <w:rsid w:val="00E7443B"/>
    <w:rsid w:val="00E76EEC"/>
    <w:rsid w:val="00E77ED2"/>
    <w:rsid w:val="00E82BAF"/>
    <w:rsid w:val="00E837A1"/>
    <w:rsid w:val="00E85450"/>
    <w:rsid w:val="00E86A35"/>
    <w:rsid w:val="00E87713"/>
    <w:rsid w:val="00E87BFA"/>
    <w:rsid w:val="00E9035F"/>
    <w:rsid w:val="00E90C94"/>
    <w:rsid w:val="00E92F2A"/>
    <w:rsid w:val="00E93FE1"/>
    <w:rsid w:val="00E94D8C"/>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409"/>
    <w:rsid w:val="00EC5BD0"/>
    <w:rsid w:val="00EC5EEB"/>
    <w:rsid w:val="00EC5F97"/>
    <w:rsid w:val="00EC7190"/>
    <w:rsid w:val="00EC7D3A"/>
    <w:rsid w:val="00EC7E0D"/>
    <w:rsid w:val="00EC7E67"/>
    <w:rsid w:val="00ED0302"/>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F31"/>
    <w:rsid w:val="00EF6596"/>
    <w:rsid w:val="00EF7198"/>
    <w:rsid w:val="00EF7B17"/>
    <w:rsid w:val="00EF7D33"/>
    <w:rsid w:val="00F01424"/>
    <w:rsid w:val="00F016D4"/>
    <w:rsid w:val="00F01C6B"/>
    <w:rsid w:val="00F02432"/>
    <w:rsid w:val="00F030AF"/>
    <w:rsid w:val="00F032B1"/>
    <w:rsid w:val="00F058C2"/>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FC1"/>
    <w:rsid w:val="00F17919"/>
    <w:rsid w:val="00F17E4C"/>
    <w:rsid w:val="00F20339"/>
    <w:rsid w:val="00F21DC4"/>
    <w:rsid w:val="00F21EEF"/>
    <w:rsid w:val="00F22987"/>
    <w:rsid w:val="00F2337B"/>
    <w:rsid w:val="00F238B2"/>
    <w:rsid w:val="00F23B19"/>
    <w:rsid w:val="00F26133"/>
    <w:rsid w:val="00F26196"/>
    <w:rsid w:val="00F26C18"/>
    <w:rsid w:val="00F276D6"/>
    <w:rsid w:val="00F277D0"/>
    <w:rsid w:val="00F31346"/>
    <w:rsid w:val="00F3285B"/>
    <w:rsid w:val="00F35702"/>
    <w:rsid w:val="00F3599A"/>
    <w:rsid w:val="00F36010"/>
    <w:rsid w:val="00F360EE"/>
    <w:rsid w:val="00F4124F"/>
    <w:rsid w:val="00F42170"/>
    <w:rsid w:val="00F442B7"/>
    <w:rsid w:val="00F4517A"/>
    <w:rsid w:val="00F45673"/>
    <w:rsid w:val="00F46DAD"/>
    <w:rsid w:val="00F46DEF"/>
    <w:rsid w:val="00F47EF1"/>
    <w:rsid w:val="00F517BF"/>
    <w:rsid w:val="00F5199F"/>
    <w:rsid w:val="00F524DF"/>
    <w:rsid w:val="00F54773"/>
    <w:rsid w:val="00F54DE9"/>
    <w:rsid w:val="00F56077"/>
    <w:rsid w:val="00F564D8"/>
    <w:rsid w:val="00F618AB"/>
    <w:rsid w:val="00F62518"/>
    <w:rsid w:val="00F63836"/>
    <w:rsid w:val="00F63F45"/>
    <w:rsid w:val="00F6464D"/>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9010D"/>
    <w:rsid w:val="00F90448"/>
    <w:rsid w:val="00F915BC"/>
    <w:rsid w:val="00F91609"/>
    <w:rsid w:val="00F917BE"/>
    <w:rsid w:val="00F91B4B"/>
    <w:rsid w:val="00F93379"/>
    <w:rsid w:val="00F93CE2"/>
    <w:rsid w:val="00F9441D"/>
    <w:rsid w:val="00F94B5A"/>
    <w:rsid w:val="00F9538F"/>
    <w:rsid w:val="00F95B7F"/>
    <w:rsid w:val="00FA00C8"/>
    <w:rsid w:val="00FA1551"/>
    <w:rsid w:val="00FA2A8C"/>
    <w:rsid w:val="00FA30FE"/>
    <w:rsid w:val="00FA3330"/>
    <w:rsid w:val="00FA48E2"/>
    <w:rsid w:val="00FA4D5B"/>
    <w:rsid w:val="00FA4F23"/>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5872"/>
    <w:rsid w:val="00FC6401"/>
    <w:rsid w:val="00FC71E6"/>
    <w:rsid w:val="00FD0DB6"/>
    <w:rsid w:val="00FD12E7"/>
    <w:rsid w:val="00FD17F4"/>
    <w:rsid w:val="00FD2640"/>
    <w:rsid w:val="00FD2A29"/>
    <w:rsid w:val="00FD3EDC"/>
    <w:rsid w:val="00FD4247"/>
    <w:rsid w:val="00FD4413"/>
    <w:rsid w:val="00FD54DC"/>
    <w:rsid w:val="00FD577E"/>
    <w:rsid w:val="00FD6F60"/>
    <w:rsid w:val="00FE2164"/>
    <w:rsid w:val="00FE280A"/>
    <w:rsid w:val="00FE29A8"/>
    <w:rsid w:val="00FE562E"/>
    <w:rsid w:val="00FE5E19"/>
    <w:rsid w:val="00FE769C"/>
    <w:rsid w:val="00FF093C"/>
    <w:rsid w:val="00FF146C"/>
    <w:rsid w:val="00FF2185"/>
    <w:rsid w:val="00FF317A"/>
    <w:rsid w:val="00FF4036"/>
    <w:rsid w:val="00FF46E6"/>
    <w:rsid w:val="00FF51D9"/>
    <w:rsid w:val="00FF5723"/>
    <w:rsid w:val="00FF6AC7"/>
    <w:rsid w:val="00FF79E6"/>
    <w:rsid w:val="00FF7CE4"/>
    <w:rsid w:val="00FF7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D17BE-7FB4-45C6-8BC1-E3986D7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uiPriority w:val="59"/>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semiHidden/>
    <w:unhideWhenUsed/>
    <w:rsid w:val="00640CCA"/>
    <w:pPr>
      <w:spacing w:after="120"/>
    </w:pPr>
  </w:style>
  <w:style w:type="character" w:customStyle="1" w:styleId="BodyTextChar">
    <w:name w:val="Body Text Char"/>
    <w:basedOn w:val="DefaultParagraphFont"/>
    <w:link w:val="BodyText"/>
    <w:uiPriority w:val="99"/>
    <w:semiHidden/>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nhideWhenUsed/>
    <w:rsid w:val="00C44DF6"/>
    <w:rPr>
      <w:sz w:val="20"/>
      <w:szCs w:val="20"/>
    </w:rPr>
  </w:style>
  <w:style w:type="character" w:customStyle="1" w:styleId="CommentTextChar">
    <w:name w:val="Comment Text Char"/>
    <w:basedOn w:val="DefaultParagraphFont"/>
    <w:link w:val="CommentText"/>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F6C7-66CE-4320-8E9A-4B74943A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Sabeel Ahmed</dc:creator>
  <cp:keywords/>
  <dc:description/>
  <cp:lastModifiedBy>Tanzila Nisar Mirza</cp:lastModifiedBy>
  <cp:revision>2</cp:revision>
  <cp:lastPrinted>2020-06-22T07:25:00Z</cp:lastPrinted>
  <dcterms:created xsi:type="dcterms:W3CDTF">2021-02-11T05:47:00Z</dcterms:created>
  <dcterms:modified xsi:type="dcterms:W3CDTF">2021-02-11T05:47:00Z</dcterms:modified>
</cp:coreProperties>
</file>