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3E0610" w:rsidRDefault="00AB16A5" w:rsidP="00AB16A5">
      <w:pPr>
        <w:pStyle w:val="NormalWeb"/>
        <w:spacing w:line="276" w:lineRule="auto"/>
        <w:jc w:val="center"/>
        <w:rPr>
          <w:rFonts w:ascii="Book Antiqua" w:hAnsi="Book Antiqua"/>
          <w:b/>
          <w:bCs/>
          <w:sz w:val="22"/>
          <w:szCs w:val="22"/>
        </w:rPr>
      </w:pPr>
    </w:p>
    <w:p w:rsidR="005D1DD2" w:rsidRPr="003E0610" w:rsidRDefault="00834E94" w:rsidP="005D1DD2">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5D1DD2">
      <w:pPr>
        <w:jc w:val="center"/>
        <w:rPr>
          <w:rFonts w:ascii="Book Antiqua" w:eastAsia="Arial Unicode MS" w:hAnsi="Book Antiqua" w:cs="Times New Roman"/>
          <w:b/>
          <w:bCs/>
          <w:color w:val="000000"/>
          <w:sz w:val="22"/>
          <w:szCs w:val="22"/>
        </w:rPr>
      </w:pPr>
    </w:p>
    <w:p w:rsidR="00192BA5" w:rsidRPr="00AE7382" w:rsidRDefault="00AE7382" w:rsidP="00AE7382">
      <w:pPr>
        <w:spacing w:line="276" w:lineRule="auto"/>
        <w:jc w:val="center"/>
        <w:rPr>
          <w:rFonts w:ascii="Book Antiqua" w:eastAsia="Arial Unicode MS" w:hAnsi="Book Antiqua"/>
          <w:b/>
          <w:bCs/>
          <w:color w:val="000000"/>
          <w:sz w:val="22"/>
          <w:szCs w:val="22"/>
        </w:rPr>
      </w:pPr>
      <w:r w:rsidRPr="00965E78">
        <w:rPr>
          <w:rFonts w:ascii="Book Antiqua" w:eastAsia="Arial Unicode MS" w:hAnsi="Book Antiqua"/>
          <w:b/>
          <w:bCs/>
          <w:color w:val="000000"/>
          <w:sz w:val="22"/>
          <w:szCs w:val="22"/>
        </w:rPr>
        <w:t xml:space="preserve">Mr. Amir M. Khan Afridi – Director/ Head of Department </w:t>
      </w:r>
    </w:p>
    <w:p w:rsidR="007F33F3" w:rsidRPr="003E0610" w:rsidRDefault="007F33F3" w:rsidP="007F33F3">
      <w:pPr>
        <w:jc w:val="both"/>
        <w:rPr>
          <w:rFonts w:ascii="Book Antiqua" w:hAnsi="Book Antiqua" w:cs="Times New Roman"/>
          <w:b/>
          <w:bCs/>
          <w:sz w:val="22"/>
          <w:szCs w:val="22"/>
          <w:u w:val="single"/>
        </w:rPr>
      </w:pPr>
    </w:p>
    <w:p w:rsidR="00AE7382" w:rsidRPr="00965E78" w:rsidRDefault="007F33F3" w:rsidP="00AE7382">
      <w:pPr>
        <w:pStyle w:val="NormalWeb"/>
        <w:spacing w:line="276" w:lineRule="auto"/>
        <w:jc w:val="center"/>
        <w:rPr>
          <w:rFonts w:ascii="Book Antiqua" w:hAnsi="Book Antiqua"/>
          <w:b/>
          <w:bCs/>
          <w:sz w:val="22"/>
          <w:szCs w:val="22"/>
        </w:rPr>
      </w:pPr>
      <w:r w:rsidRPr="003E0610">
        <w:rPr>
          <w:rFonts w:ascii="Book Antiqua" w:hAnsi="Book Antiqua"/>
          <w:b/>
          <w:bCs/>
          <w:sz w:val="22"/>
          <w:szCs w:val="22"/>
          <w:u w:val="single"/>
        </w:rPr>
        <w:t>In the matter of</w:t>
      </w:r>
      <w:r w:rsidR="0088646B" w:rsidRPr="003E0610">
        <w:rPr>
          <w:rFonts w:ascii="Book Antiqua" w:hAnsi="Book Antiqua"/>
          <w:b/>
          <w:bCs/>
          <w:sz w:val="22"/>
          <w:szCs w:val="22"/>
          <w:u w:val="single"/>
        </w:rPr>
        <w:t xml:space="preserve"> Show Cause Notice issued to</w:t>
      </w:r>
      <w:r w:rsidR="00F6183A" w:rsidRPr="003E0610">
        <w:rPr>
          <w:rFonts w:ascii="Book Antiqua" w:hAnsi="Book Antiqua"/>
          <w:b/>
          <w:bCs/>
          <w:sz w:val="22"/>
          <w:szCs w:val="22"/>
          <w:u w:val="single"/>
        </w:rPr>
        <w:t xml:space="preserve"> </w:t>
      </w:r>
      <w:r w:rsidR="00AE7382" w:rsidRPr="00AE7382">
        <w:rPr>
          <w:rFonts w:ascii="Book Antiqua" w:hAnsi="Book Antiqua"/>
          <w:b/>
          <w:bCs/>
          <w:sz w:val="22"/>
          <w:szCs w:val="22"/>
          <w:u w:val="single"/>
        </w:rPr>
        <w:t>TRG Pakistan Limited</w:t>
      </w:r>
    </w:p>
    <w:p w:rsidR="007F33F3" w:rsidRPr="003E0610" w:rsidRDefault="007F33F3" w:rsidP="007F33F3">
      <w:pPr>
        <w:tabs>
          <w:tab w:val="left" w:pos="1080"/>
        </w:tabs>
        <w:jc w:val="center"/>
        <w:rPr>
          <w:rFonts w:ascii="Book Antiqua" w:hAnsi="Book Antiqua" w:cs="Times New Roman"/>
          <w:b/>
          <w:bCs/>
          <w:sz w:val="22"/>
          <w:szCs w:val="22"/>
          <w:u w:val="single"/>
        </w:rPr>
      </w:pPr>
    </w:p>
    <w:p w:rsidR="007F33F3" w:rsidRPr="003E0610" w:rsidRDefault="007F33F3" w:rsidP="007F33F3">
      <w:pPr>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991511">
        <w:trPr>
          <w:trHeight w:hRule="exact" w:val="965"/>
        </w:trPr>
        <w:tc>
          <w:tcPr>
            <w:tcW w:w="4717" w:type="dxa"/>
            <w:tcBorders>
              <w:bottom w:val="single" w:sz="4" w:space="0" w:color="auto"/>
            </w:tcBorders>
            <w:vAlign w:val="center"/>
          </w:tcPr>
          <w:p w:rsidR="007F33F3" w:rsidRPr="003E0610" w:rsidRDefault="007F33F3" w:rsidP="00991511">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tcBorders>
            <w:vAlign w:val="center"/>
          </w:tcPr>
          <w:p w:rsidR="00FE6A81" w:rsidRPr="003E0610" w:rsidRDefault="00AE7382" w:rsidP="00192BA5">
            <w:pPr>
              <w:spacing w:line="276" w:lineRule="auto"/>
              <w:rPr>
                <w:rFonts w:ascii="Book Antiqua" w:hAnsi="Book Antiqua"/>
                <w:sz w:val="22"/>
                <w:szCs w:val="22"/>
              </w:rPr>
            </w:pPr>
            <w:r w:rsidRPr="00965E78">
              <w:rPr>
                <w:rFonts w:ascii="Book Antiqua" w:hAnsi="Book Antiqua"/>
                <w:sz w:val="22"/>
                <w:szCs w:val="22"/>
              </w:rPr>
              <w:t>May 28, 2022</w:t>
            </w:r>
          </w:p>
        </w:tc>
      </w:tr>
    </w:tbl>
    <w:p w:rsidR="007F33F3" w:rsidRPr="003E0610" w:rsidRDefault="007F33F3" w:rsidP="007F33F3">
      <w:pPr>
        <w:jc w:val="both"/>
        <w:rPr>
          <w:rFonts w:ascii="Book Antiqua" w:hAnsi="Book Antiqua" w:cs="Times New Roman"/>
          <w:b/>
          <w:sz w:val="22"/>
          <w:szCs w:val="22"/>
        </w:rPr>
      </w:pPr>
    </w:p>
    <w:p w:rsidR="007F33F3" w:rsidRPr="003E0610" w:rsidRDefault="007F33F3" w:rsidP="007F33F3">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F33F3">
      <w:pPr>
        <w:jc w:val="both"/>
        <w:rPr>
          <w:rFonts w:ascii="Book Antiqua" w:hAnsi="Book Antiqua" w:cs="Times New Roman"/>
          <w:sz w:val="22"/>
          <w:szCs w:val="22"/>
          <w:u w:val="single"/>
        </w:rPr>
      </w:pPr>
    </w:p>
    <w:p w:rsidR="007F33F3" w:rsidRPr="003E0610" w:rsidRDefault="00A31B95" w:rsidP="00B63388">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AE7382">
        <w:rPr>
          <w:rFonts w:ascii="Book Antiqua" w:hAnsi="Book Antiqua" w:cs="Times New Roman"/>
          <w:sz w:val="22"/>
          <w:szCs w:val="22"/>
        </w:rPr>
        <w:t>July 28</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was passed by Director/Head of Department (Adjudication-I) in the matter of</w:t>
      </w:r>
      <w:r w:rsidR="009043D6" w:rsidRPr="003E0610">
        <w:rPr>
          <w:rFonts w:ascii="Book Antiqua" w:hAnsi="Book Antiqua" w:cs="Times New Roman"/>
          <w:sz w:val="22"/>
          <w:szCs w:val="22"/>
        </w:rPr>
        <w:t xml:space="preserve"> </w:t>
      </w:r>
      <w:r w:rsidR="00AE7382" w:rsidRPr="00965E78">
        <w:rPr>
          <w:rFonts w:ascii="Book Antiqua" w:hAnsi="Book Antiqua"/>
          <w:color w:val="000000"/>
          <w:sz w:val="22"/>
          <w:szCs w:val="22"/>
        </w:rPr>
        <w:t>TRG Pakistan Limited</w:t>
      </w:r>
      <w:r w:rsidR="007F33F3" w:rsidRPr="003E0610">
        <w:rPr>
          <w:rFonts w:ascii="Book Antiqua" w:hAnsi="Book Antiqua" w:cs="Times New Roman"/>
          <w:sz w:val="22"/>
          <w:szCs w:val="22"/>
        </w:rPr>
        <w:t>. Relevant details are given as hereunder:</w:t>
      </w:r>
    </w:p>
    <w:p w:rsidR="007F33F3" w:rsidRPr="003E0610" w:rsidRDefault="007F33F3" w:rsidP="007F33F3">
      <w:pPr>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3E0610" w:rsidTr="00991511">
        <w:tc>
          <w:tcPr>
            <w:tcW w:w="2605"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6660"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7F33F3" w:rsidP="00991511">
            <w:pPr>
              <w:jc w:val="both"/>
              <w:rPr>
                <w:rFonts w:ascii="Book Antiqua" w:hAnsi="Book Antiqua" w:cs="Times New Roman"/>
                <w:sz w:val="22"/>
                <w:szCs w:val="22"/>
              </w:rPr>
            </w:pPr>
            <w:r w:rsidRPr="003E0610">
              <w:rPr>
                <w:rFonts w:ascii="Book Antiqua" w:hAnsi="Book Antiqua" w:cs="Times New Roman"/>
                <w:sz w:val="22"/>
                <w:szCs w:val="22"/>
              </w:rPr>
              <w:t xml:space="preserve">Show cause notice dated </w:t>
            </w:r>
            <w:r w:rsidR="00AE7382" w:rsidRPr="00965E78">
              <w:rPr>
                <w:rFonts w:ascii="Book Antiqua" w:hAnsi="Book Antiqua" w:cs="Times New Roman"/>
                <w:sz w:val="22"/>
                <w:szCs w:val="22"/>
              </w:rPr>
              <w:t>March 15, 2022</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AE7382" w:rsidP="00991511">
            <w:pPr>
              <w:jc w:val="both"/>
              <w:rPr>
                <w:rFonts w:ascii="Book Antiqua" w:hAnsi="Book Antiqua" w:cs="Times New Roman"/>
                <w:sz w:val="22"/>
                <w:szCs w:val="22"/>
              </w:rPr>
            </w:pPr>
            <w:r w:rsidRPr="00965E78">
              <w:rPr>
                <w:rFonts w:ascii="Book Antiqua" w:hAnsi="Book Antiqua"/>
                <w:color w:val="000000"/>
                <w:sz w:val="22"/>
                <w:szCs w:val="22"/>
              </w:rPr>
              <w:t>TRG Pakistan Limited</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 xml:space="preserve">Name of Individual </w:t>
            </w:r>
          </w:p>
        </w:tc>
        <w:tc>
          <w:tcPr>
            <w:tcW w:w="6660" w:type="dxa"/>
          </w:tcPr>
          <w:p w:rsidR="00FD6E1D" w:rsidRPr="003E0610" w:rsidRDefault="00FD6E1D" w:rsidP="00FD6E1D">
            <w:pPr>
              <w:jc w:val="both"/>
              <w:rPr>
                <w:rFonts w:ascii="Book Antiqua" w:hAnsi="Book Antiqua" w:cs="Times New Roman"/>
                <w:sz w:val="22"/>
                <w:szCs w:val="22"/>
              </w:rPr>
            </w:pPr>
            <w:r w:rsidRPr="003E0610">
              <w:rPr>
                <w:rFonts w:ascii="Book Antiqua" w:hAnsi="Book Antiqua" w:cs="Times New Roman"/>
                <w:sz w:val="22"/>
                <w:szCs w:val="22"/>
              </w:rPr>
              <w:t>The proceedings were initiated against the</w:t>
            </w:r>
            <w:r w:rsidR="00834E94" w:rsidRPr="003E0610">
              <w:rPr>
                <w:rFonts w:ascii="Book Antiqua" w:hAnsi="Book Antiqua" w:cs="Times New Roman"/>
                <w:sz w:val="22"/>
                <w:szCs w:val="22"/>
              </w:rPr>
              <w:t xml:space="preserve"> board of directors of the</w:t>
            </w:r>
            <w:r w:rsidRPr="003E0610">
              <w:rPr>
                <w:rFonts w:ascii="Book Antiqua" w:hAnsi="Book Antiqua" w:cs="Times New Roman"/>
                <w:sz w:val="22"/>
                <w:szCs w:val="22"/>
              </w:rPr>
              <w:t xml:space="preserve"> Company </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FD6E1D">
            <w:pPr>
              <w:jc w:val="both"/>
              <w:rPr>
                <w:rFonts w:ascii="Book Antiqua" w:hAnsi="Book Antiqua" w:cs="Times New Roman"/>
                <w:sz w:val="22"/>
                <w:szCs w:val="22"/>
              </w:rPr>
            </w:pPr>
          </w:p>
        </w:tc>
        <w:tc>
          <w:tcPr>
            <w:tcW w:w="6660" w:type="dxa"/>
          </w:tcPr>
          <w:p w:rsidR="003E0610" w:rsidRDefault="00FD6E1D" w:rsidP="003E0610">
            <w:pPr>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AE7382" w:rsidRPr="00965E78">
              <w:rPr>
                <w:rFonts w:ascii="Book Antiqua" w:hAnsi="Book Antiqua"/>
                <w:color w:val="000000"/>
                <w:sz w:val="22"/>
                <w:szCs w:val="22"/>
              </w:rPr>
              <w:t>regulation 27 of the Listed Companies (Code of Corporate Governance) Regulations, 2019 (</w:t>
            </w:r>
            <w:r w:rsidR="00AE7382" w:rsidRPr="00965E78">
              <w:rPr>
                <w:rFonts w:ascii="Book Antiqua" w:hAnsi="Book Antiqua"/>
                <w:b/>
                <w:color w:val="000000"/>
                <w:sz w:val="22"/>
                <w:szCs w:val="22"/>
              </w:rPr>
              <w:t>the CCG Regulations</w:t>
            </w:r>
            <w:r w:rsidR="00AE7382" w:rsidRPr="00965E78">
              <w:rPr>
                <w:rFonts w:ascii="Book Antiqua" w:hAnsi="Book Antiqua"/>
                <w:color w:val="000000"/>
                <w:sz w:val="22"/>
                <w:szCs w:val="22"/>
              </w:rPr>
              <w:t xml:space="preserve">) read with Regulation 37 of CCG Regulations and Section 512 of the Companies Act, </w:t>
            </w:r>
            <w:r w:rsidR="00AE7382" w:rsidRPr="00965E78">
              <w:rPr>
                <w:rFonts w:ascii="Book Antiqua" w:hAnsi="Book Antiqua"/>
                <w:sz w:val="22"/>
                <w:szCs w:val="22"/>
              </w:rPr>
              <w:t>2017</w:t>
            </w:r>
            <w:r w:rsidR="00B36248">
              <w:rPr>
                <w:rFonts w:ascii="Book Antiqua" w:hAnsi="Book Antiqua"/>
                <w:sz w:val="22"/>
                <w:szCs w:val="22"/>
              </w:rPr>
              <w:t xml:space="preserve"> </w:t>
            </w:r>
          </w:p>
          <w:p w:rsidR="00B36248" w:rsidRPr="003E0610" w:rsidRDefault="00B36248" w:rsidP="003E0610">
            <w:pPr>
              <w:jc w:val="both"/>
              <w:rPr>
                <w:rFonts w:ascii="Book Antiqua" w:hAnsi="Book Antiqua"/>
                <w:sz w:val="22"/>
                <w:szCs w:val="22"/>
              </w:rPr>
            </w:pPr>
          </w:p>
          <w:p w:rsidR="00AE7382" w:rsidRPr="00AE7382" w:rsidRDefault="00AE7382" w:rsidP="00AE7382">
            <w:pPr>
              <w:pStyle w:val="BodyText"/>
              <w:tabs>
                <w:tab w:val="left" w:pos="0"/>
              </w:tabs>
              <w:jc w:val="both"/>
              <w:rPr>
                <w:rFonts w:ascii="Book Antiqua" w:hAnsi="Book Antiqua"/>
                <w:sz w:val="22"/>
              </w:rPr>
            </w:pPr>
            <w:r w:rsidRPr="00AE7382">
              <w:rPr>
                <w:rFonts w:ascii="Book Antiqua" w:hAnsi="Book Antiqua"/>
                <w:sz w:val="22"/>
              </w:rPr>
              <w:t>Brief facts of the case are that the review of the financial statements of the Company for the period ended June 30, 2021 (</w:t>
            </w:r>
            <w:r w:rsidRPr="00AE7382">
              <w:rPr>
                <w:rFonts w:ascii="Book Antiqua" w:hAnsi="Book Antiqua"/>
                <w:b/>
                <w:sz w:val="22"/>
              </w:rPr>
              <w:t>the 2021 Accounts</w:t>
            </w:r>
            <w:r w:rsidRPr="00AE7382">
              <w:rPr>
                <w:rFonts w:ascii="Book Antiqua" w:hAnsi="Book Antiqua"/>
                <w:sz w:val="22"/>
              </w:rPr>
              <w:t xml:space="preserve">) transpired that the Company under the statement of compliance with the CCG Regulations disclosed Audit Committee comprising of Mr. </w:t>
            </w:r>
            <w:r w:rsidR="00545D86">
              <w:rPr>
                <w:rFonts w:ascii="Book Antiqua" w:hAnsi="Book Antiqua"/>
                <w:sz w:val="22"/>
              </w:rPr>
              <w:t>*****</w:t>
            </w:r>
            <w:r w:rsidRPr="00AE7382">
              <w:rPr>
                <w:rFonts w:ascii="Book Antiqua" w:hAnsi="Book Antiqua"/>
                <w:sz w:val="22"/>
              </w:rPr>
              <w:t xml:space="preserve"> as chairman while Mr. </w:t>
            </w:r>
            <w:r w:rsidR="00545D86">
              <w:rPr>
                <w:rFonts w:ascii="Book Antiqua" w:hAnsi="Book Antiqua"/>
                <w:sz w:val="22"/>
              </w:rPr>
              <w:t>*****</w:t>
            </w:r>
            <w:r w:rsidRPr="00AE7382">
              <w:rPr>
                <w:rFonts w:ascii="Book Antiqua" w:hAnsi="Book Antiqua"/>
                <w:sz w:val="22"/>
              </w:rPr>
              <w:t xml:space="preserve">, Mr. </w:t>
            </w:r>
            <w:r w:rsidR="00545D86">
              <w:rPr>
                <w:rFonts w:ascii="Book Antiqua" w:hAnsi="Book Antiqua"/>
                <w:sz w:val="22"/>
              </w:rPr>
              <w:t>*****</w:t>
            </w:r>
            <w:r w:rsidRPr="00AE7382">
              <w:rPr>
                <w:rFonts w:ascii="Book Antiqua" w:hAnsi="Book Antiqua"/>
                <w:sz w:val="22"/>
              </w:rPr>
              <w:t xml:space="preserve"> and Mr. </w:t>
            </w:r>
            <w:r w:rsidR="00545D86">
              <w:rPr>
                <w:rFonts w:ascii="Book Antiqua" w:hAnsi="Book Antiqua"/>
                <w:sz w:val="22"/>
              </w:rPr>
              <w:t>*****</w:t>
            </w:r>
            <w:bookmarkStart w:id="0" w:name="_GoBack"/>
            <w:bookmarkEnd w:id="0"/>
            <w:r w:rsidRPr="00AE7382">
              <w:rPr>
                <w:rFonts w:ascii="Book Antiqua" w:hAnsi="Book Antiqua"/>
                <w:sz w:val="22"/>
              </w:rPr>
              <w:t xml:space="preserve"> as its members and stated that:</w:t>
            </w:r>
          </w:p>
          <w:p w:rsidR="00AE7382" w:rsidRPr="00AE7382" w:rsidRDefault="00AE7382" w:rsidP="00AE7382">
            <w:pPr>
              <w:pStyle w:val="BodyText"/>
              <w:tabs>
                <w:tab w:val="left" w:pos="426"/>
              </w:tabs>
              <w:ind w:left="426"/>
              <w:jc w:val="both"/>
              <w:rPr>
                <w:rFonts w:ascii="Book Antiqua" w:hAnsi="Book Antiqua"/>
                <w:i/>
                <w:sz w:val="22"/>
                <w:u w:val="single"/>
              </w:rPr>
            </w:pPr>
            <w:r w:rsidRPr="00AE7382">
              <w:rPr>
                <w:rFonts w:ascii="Book Antiqua" w:hAnsi="Book Antiqua"/>
                <w:i/>
                <w:sz w:val="22"/>
                <w:u w:val="single"/>
              </w:rPr>
              <w:t>“Regulation 27(2)(</w:t>
            </w:r>
            <w:proofErr w:type="spellStart"/>
            <w:r w:rsidRPr="00AE7382">
              <w:rPr>
                <w:rFonts w:ascii="Book Antiqua" w:hAnsi="Book Antiqua"/>
                <w:i/>
                <w:sz w:val="22"/>
                <w:u w:val="single"/>
              </w:rPr>
              <w:t>i</w:t>
            </w:r>
            <w:proofErr w:type="spellEnd"/>
            <w:r w:rsidRPr="00AE7382">
              <w:rPr>
                <w:rFonts w:ascii="Book Antiqua" w:hAnsi="Book Antiqua"/>
                <w:i/>
                <w:sz w:val="22"/>
                <w:u w:val="single"/>
              </w:rPr>
              <w:t>):</w:t>
            </w:r>
          </w:p>
          <w:p w:rsidR="00AE7382" w:rsidRPr="00AE7382" w:rsidRDefault="00AE7382" w:rsidP="00AE7382">
            <w:pPr>
              <w:pStyle w:val="BodyText"/>
              <w:tabs>
                <w:tab w:val="left" w:pos="426"/>
              </w:tabs>
              <w:ind w:left="426"/>
              <w:jc w:val="both"/>
              <w:rPr>
                <w:rFonts w:ascii="Book Antiqua" w:hAnsi="Book Antiqua"/>
                <w:i/>
                <w:sz w:val="22"/>
              </w:rPr>
            </w:pPr>
            <w:r w:rsidRPr="00AE7382">
              <w:rPr>
                <w:rFonts w:ascii="Book Antiqua" w:hAnsi="Book Antiqua"/>
                <w:i/>
                <w:sz w:val="22"/>
              </w:rPr>
              <w:t>Last year the Company received an extension for the deadline of holding AGM and filing of annual accounts from the Securities and Exchange Commission of Pakistan (SECP), therefore, annual and quarterly accounts were approved in one audit committee meeting held on 05</w:t>
            </w:r>
            <w:r w:rsidRPr="00AE7382">
              <w:rPr>
                <w:rFonts w:ascii="Book Antiqua" w:hAnsi="Book Antiqua"/>
                <w:i/>
                <w:sz w:val="22"/>
                <w:vertAlign w:val="superscript"/>
              </w:rPr>
              <w:t>th</w:t>
            </w:r>
            <w:r w:rsidRPr="00AE7382">
              <w:rPr>
                <w:rFonts w:ascii="Book Antiqua" w:hAnsi="Book Antiqua"/>
                <w:i/>
                <w:sz w:val="22"/>
              </w:rPr>
              <w:t xml:space="preserve"> November 2021 of the </w:t>
            </w:r>
            <w:r w:rsidRPr="00965E78">
              <w:rPr>
                <w:rFonts w:ascii="Book Antiqua" w:hAnsi="Book Antiqua"/>
                <w:i/>
              </w:rPr>
              <w:t xml:space="preserve">financial year 2021 and therefore, during the year three audit committee </w:t>
            </w:r>
            <w:r w:rsidRPr="00AE7382">
              <w:rPr>
                <w:rFonts w:ascii="Book Antiqua" w:hAnsi="Book Antiqua"/>
                <w:i/>
                <w:sz w:val="22"/>
              </w:rPr>
              <w:t>meetings were</w:t>
            </w:r>
            <w:r w:rsidRPr="00965E78">
              <w:rPr>
                <w:rFonts w:ascii="Book Antiqua" w:hAnsi="Book Antiqua"/>
                <w:i/>
              </w:rPr>
              <w:t xml:space="preserve"> </w:t>
            </w:r>
            <w:r w:rsidRPr="00AE7382">
              <w:rPr>
                <w:rFonts w:ascii="Book Antiqua" w:hAnsi="Book Antiqua"/>
                <w:i/>
                <w:sz w:val="22"/>
              </w:rPr>
              <w:t>held instead of four.”</w:t>
            </w:r>
          </w:p>
          <w:p w:rsidR="003E0610" w:rsidRPr="00AE7382" w:rsidRDefault="00AE7382" w:rsidP="00AE7382">
            <w:pPr>
              <w:pStyle w:val="BodyText"/>
              <w:tabs>
                <w:tab w:val="left" w:pos="426"/>
              </w:tabs>
              <w:jc w:val="both"/>
              <w:rPr>
                <w:rFonts w:ascii="Book Antiqua" w:hAnsi="Book Antiqua"/>
              </w:rPr>
            </w:pPr>
            <w:r>
              <w:rPr>
                <w:rFonts w:ascii="Book Antiqua" w:hAnsi="Book Antiqua" w:cs="Times New Roman"/>
                <w:sz w:val="22"/>
                <w:szCs w:val="22"/>
              </w:rPr>
              <w:lastRenderedPageBreak/>
              <w:t xml:space="preserve">In view of the aforesaid, it appeared that the Respondents failed to convene </w:t>
            </w:r>
            <w:r w:rsidRPr="00965E78">
              <w:rPr>
                <w:rFonts w:ascii="Book Antiqua" w:eastAsiaTheme="minorEastAsia" w:hAnsi="Book Antiqua" w:cs="Times New Roman"/>
                <w:sz w:val="22"/>
                <w:szCs w:val="22"/>
              </w:rPr>
              <w:t>Board’s audit committee at least once in each quarter of the year ended June 30, 2021.</w:t>
            </w:r>
          </w:p>
        </w:tc>
      </w:tr>
      <w:tr w:rsidR="00FD6E1D" w:rsidRPr="003E0610" w:rsidTr="00AE7382">
        <w:trPr>
          <w:trHeight w:val="8586"/>
        </w:trPr>
        <w:tc>
          <w:tcPr>
            <w:tcW w:w="2605" w:type="dxa"/>
          </w:tcPr>
          <w:p w:rsidR="00FD6E1D" w:rsidRPr="003E0610" w:rsidRDefault="00FD6E1D" w:rsidP="00FD6E1D">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lastRenderedPageBreak/>
              <w:t>Action Taken</w:t>
            </w:r>
          </w:p>
          <w:p w:rsidR="00FD6E1D" w:rsidRPr="003E0610" w:rsidRDefault="00FD6E1D" w:rsidP="00FD6E1D">
            <w:pPr>
              <w:jc w:val="both"/>
              <w:rPr>
                <w:rFonts w:ascii="Book Antiqua" w:hAnsi="Book Antiqua" w:cs="Times New Roman"/>
                <w:sz w:val="22"/>
                <w:szCs w:val="22"/>
              </w:rPr>
            </w:pPr>
          </w:p>
        </w:tc>
        <w:tc>
          <w:tcPr>
            <w:tcW w:w="6660" w:type="dxa"/>
          </w:tcPr>
          <w:p w:rsidR="00963191" w:rsidRPr="00AE7382" w:rsidRDefault="00963191" w:rsidP="00963191">
            <w:pPr>
              <w:tabs>
                <w:tab w:val="left" w:pos="0"/>
              </w:tabs>
              <w:autoSpaceDE w:val="0"/>
              <w:autoSpaceDN w:val="0"/>
              <w:adjustRightInd w:val="0"/>
              <w:spacing w:line="276" w:lineRule="auto"/>
              <w:jc w:val="both"/>
              <w:rPr>
                <w:rFonts w:ascii="Book Antiqua" w:hAnsi="Book Antiqua"/>
                <w:sz w:val="22"/>
                <w:szCs w:val="22"/>
              </w:rPr>
            </w:pPr>
            <w:r w:rsidRPr="00AE7382">
              <w:rPr>
                <w:rFonts w:ascii="Book Antiqua" w:hAnsi="Book Antiqua"/>
                <w:sz w:val="22"/>
                <w:szCs w:val="22"/>
              </w:rPr>
              <w:t>Key findings were reported in the following manner:</w:t>
            </w:r>
          </w:p>
          <w:p w:rsidR="00605013" w:rsidRDefault="00605013" w:rsidP="00605013">
            <w:pPr>
              <w:pStyle w:val="ListParagraph"/>
              <w:widowControl w:val="0"/>
              <w:autoSpaceDE w:val="0"/>
              <w:autoSpaceDN w:val="0"/>
              <w:adjustRightInd w:val="0"/>
              <w:spacing w:line="276" w:lineRule="auto"/>
              <w:ind w:left="0" w:right="-45"/>
              <w:contextualSpacing w:val="0"/>
              <w:jc w:val="both"/>
              <w:rPr>
                <w:rFonts w:ascii="Book Antiqua" w:hAnsi="Book Antiqua"/>
                <w:sz w:val="22"/>
                <w:szCs w:val="22"/>
              </w:rPr>
            </w:pPr>
          </w:p>
          <w:p w:rsidR="00AE7382" w:rsidRPr="00AE7382" w:rsidRDefault="00AE7382" w:rsidP="00AE7382">
            <w:pPr>
              <w:pStyle w:val="ListParagraph"/>
              <w:tabs>
                <w:tab w:val="left" w:pos="540"/>
              </w:tabs>
              <w:spacing w:line="276" w:lineRule="auto"/>
              <w:ind w:left="0"/>
              <w:jc w:val="both"/>
              <w:rPr>
                <w:rFonts w:ascii="Book Antiqua" w:hAnsi="Book Antiqua"/>
                <w:sz w:val="22"/>
                <w:szCs w:val="22"/>
              </w:rPr>
            </w:pPr>
            <w:r w:rsidRPr="00AE7382">
              <w:rPr>
                <w:rFonts w:ascii="Book Antiqua" w:hAnsi="Book Antiqua"/>
                <w:sz w:val="22"/>
                <w:szCs w:val="22"/>
              </w:rPr>
              <w:t>I have gone through the facts of the case, submissions made in writing as well as during the hearing proceedings and state that it is mandatory, in terms of regulation 27(2)(</w:t>
            </w:r>
            <w:proofErr w:type="spellStart"/>
            <w:r w:rsidRPr="00AE7382">
              <w:rPr>
                <w:rFonts w:ascii="Book Antiqua" w:hAnsi="Book Antiqua"/>
                <w:sz w:val="22"/>
                <w:szCs w:val="22"/>
              </w:rPr>
              <w:t>i</w:t>
            </w:r>
            <w:proofErr w:type="spellEnd"/>
            <w:r w:rsidRPr="00AE7382">
              <w:rPr>
                <w:rFonts w:ascii="Book Antiqua" w:hAnsi="Book Antiqua"/>
                <w:sz w:val="22"/>
                <w:szCs w:val="22"/>
              </w:rPr>
              <w:t xml:space="preserve">) of the CCG Regulations, for the board’s audit committee to meet at least once in every quarter of the financial year. It is observed that the terms of reference of audit committee meetings as stipulated in the Regulations include businesses other than review and approval of annual and quarterly financial statements of the company.  The extensions granted for holding AGM and submission of quarterly accounts does not preclude the Respondents from the requirement of holding audit committee meeting in each quarter. Thus default in compliance with requirements of regulation 27 of the CCG Regulations at the relevant time is established. Therefore, the Respondents are liable for penalty under Regulation 37 of the CCG Regulations. However considering aforesaid submission of the Respondents, delay in finalization of annual accounts and binding assurance to comply with the relevant regulations in future, I, hereby conclude this matter with warning to Respondents and advise them to ensure compliance of law in true letter and spirit in future. </w:t>
            </w:r>
          </w:p>
          <w:p w:rsidR="00AE7382" w:rsidRPr="00AE7382" w:rsidRDefault="00AE7382" w:rsidP="00AE7382">
            <w:pPr>
              <w:pStyle w:val="ListParagraph"/>
              <w:autoSpaceDE w:val="0"/>
              <w:autoSpaceDN w:val="0"/>
              <w:adjustRightInd w:val="0"/>
              <w:spacing w:line="276" w:lineRule="auto"/>
              <w:ind w:left="0"/>
              <w:jc w:val="both"/>
              <w:rPr>
                <w:rFonts w:ascii="Book Antiqua" w:hAnsi="Book Antiqua"/>
                <w:sz w:val="22"/>
                <w:szCs w:val="22"/>
              </w:rPr>
            </w:pPr>
          </w:p>
          <w:p w:rsidR="00AE7382" w:rsidRPr="00965E78" w:rsidRDefault="00AE7382" w:rsidP="00AE7382">
            <w:pPr>
              <w:pStyle w:val="ListParagraph"/>
              <w:tabs>
                <w:tab w:val="left" w:pos="540"/>
              </w:tabs>
              <w:spacing w:line="276" w:lineRule="auto"/>
              <w:ind w:left="0"/>
              <w:jc w:val="both"/>
              <w:rPr>
                <w:rFonts w:ascii="Book Antiqua" w:hAnsi="Book Antiqua"/>
                <w:sz w:val="22"/>
                <w:szCs w:val="22"/>
              </w:rPr>
            </w:pPr>
            <w:r w:rsidRPr="00965E78">
              <w:rPr>
                <w:rFonts w:ascii="Book Antiqua" w:hAnsi="Book Antiqua"/>
                <w:sz w:val="22"/>
                <w:szCs w:val="22"/>
              </w:rPr>
              <w:t xml:space="preserve">Nothing in this Order may be deemed to prejudice the operation of any provision of the </w:t>
            </w:r>
            <w:r>
              <w:rPr>
                <w:rFonts w:ascii="Book Antiqua" w:hAnsi="Book Antiqua"/>
                <w:sz w:val="22"/>
                <w:szCs w:val="22"/>
              </w:rPr>
              <w:t>Regulations</w:t>
            </w:r>
            <w:r w:rsidRPr="00965E78">
              <w:rPr>
                <w:rFonts w:ascii="Book Antiqua" w:hAnsi="Book Antiqua"/>
                <w:sz w:val="22"/>
                <w:szCs w:val="22"/>
              </w:rPr>
              <w:t xml:space="preserve"> providing for imposition of penalties in respect of any default, omission, violation of the </w:t>
            </w:r>
            <w:r>
              <w:rPr>
                <w:rFonts w:ascii="Book Antiqua" w:hAnsi="Book Antiqua"/>
                <w:sz w:val="22"/>
                <w:szCs w:val="22"/>
              </w:rPr>
              <w:t>Regulations</w:t>
            </w:r>
            <w:r w:rsidRPr="00965E78">
              <w:rPr>
                <w:rFonts w:ascii="Book Antiqua" w:hAnsi="Book Antiqua"/>
                <w:sz w:val="22"/>
                <w:szCs w:val="22"/>
              </w:rPr>
              <w:t>.</w:t>
            </w:r>
          </w:p>
          <w:p w:rsidR="00213C34" w:rsidRPr="00AE7382" w:rsidRDefault="00213C34" w:rsidP="005D1DD2">
            <w:pPr>
              <w:jc w:val="both"/>
              <w:rPr>
                <w:rFonts w:ascii="Book Antiqua" w:hAnsi="Book Antiqua"/>
                <w:sz w:val="22"/>
                <w:szCs w:val="22"/>
              </w:rPr>
            </w:pPr>
          </w:p>
        </w:tc>
      </w:tr>
      <w:tr w:rsidR="00FD6E1D" w:rsidRPr="003E0610" w:rsidTr="00991511">
        <w:tc>
          <w:tcPr>
            <w:tcW w:w="2605" w:type="dxa"/>
          </w:tcPr>
          <w:p w:rsidR="00FD6E1D" w:rsidRPr="003E0610" w:rsidRDefault="00FD6E1D" w:rsidP="00FD6E1D">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t>Penalty Imposed</w:t>
            </w:r>
          </w:p>
          <w:p w:rsidR="00FD6E1D" w:rsidRPr="003E0610" w:rsidRDefault="00FD6E1D" w:rsidP="00FD6E1D">
            <w:pPr>
              <w:jc w:val="both"/>
              <w:rPr>
                <w:rFonts w:ascii="Book Antiqua" w:hAnsi="Book Antiqua" w:cs="Times New Roman"/>
                <w:sz w:val="22"/>
                <w:szCs w:val="22"/>
              </w:rPr>
            </w:pPr>
          </w:p>
        </w:tc>
        <w:tc>
          <w:tcPr>
            <w:tcW w:w="6660" w:type="dxa"/>
          </w:tcPr>
          <w:p w:rsidR="00FD6E1D" w:rsidRPr="003E0610" w:rsidRDefault="00AE7382" w:rsidP="00F604C5">
            <w:pPr>
              <w:rPr>
                <w:rFonts w:ascii="Book Antiqua" w:hAnsi="Book Antiqua" w:cs="Times New Roman"/>
                <w:sz w:val="22"/>
                <w:szCs w:val="22"/>
              </w:rPr>
            </w:pPr>
            <w:r>
              <w:rPr>
                <w:rFonts w:ascii="Book Antiqua" w:eastAsia="Calibri" w:hAnsi="Book Antiqua"/>
                <w:b/>
                <w:color w:val="000000" w:themeColor="text1"/>
                <w:sz w:val="22"/>
                <w:szCs w:val="22"/>
              </w:rPr>
              <w:t>No penalty has been imposed on the respondents.</w:t>
            </w:r>
          </w:p>
        </w:tc>
      </w:tr>
      <w:tr w:rsidR="00FD6E1D" w:rsidRPr="003E0610" w:rsidTr="00991511">
        <w:tc>
          <w:tcPr>
            <w:tcW w:w="2605" w:type="dxa"/>
          </w:tcPr>
          <w:p w:rsidR="00FD6E1D" w:rsidRPr="003E0610" w:rsidRDefault="00FD6E1D" w:rsidP="00FD6E1D">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6660" w:type="dxa"/>
          </w:tcPr>
          <w:p w:rsidR="00FD6E1D" w:rsidRPr="003E0610" w:rsidRDefault="006D6A98" w:rsidP="00FD6E1D">
            <w:pPr>
              <w:jc w:val="both"/>
              <w:rPr>
                <w:rFonts w:ascii="Book Antiqua" w:hAnsi="Book Antiqua" w:cs="Times New Roman"/>
                <w:sz w:val="22"/>
                <w:szCs w:val="22"/>
              </w:rPr>
            </w:pPr>
            <w:r w:rsidRPr="003E0610">
              <w:rPr>
                <w:rFonts w:ascii="Book Antiqua" w:hAnsi="Book Antiqua" w:cs="Times New Roman"/>
                <w:sz w:val="22"/>
                <w:szCs w:val="22"/>
              </w:rPr>
              <w:t xml:space="preserve">No </w:t>
            </w:r>
            <w:r w:rsidR="00FD6E1D" w:rsidRPr="003E0610">
              <w:rPr>
                <w:rFonts w:ascii="Book Antiqua" w:hAnsi="Book Antiqua" w:cs="Times New Roman"/>
                <w:sz w:val="22"/>
                <w:szCs w:val="22"/>
              </w:rPr>
              <w:t>Appeal has been filed by the respondents.</w:t>
            </w:r>
          </w:p>
        </w:tc>
      </w:tr>
    </w:tbl>
    <w:p w:rsidR="007F33F3" w:rsidRPr="003E0610" w:rsidRDefault="007F33F3" w:rsidP="007F33F3">
      <w:pPr>
        <w:ind w:firstLine="720"/>
        <w:jc w:val="both"/>
        <w:rPr>
          <w:rFonts w:ascii="Book Antiqua" w:hAnsi="Book Antiqua" w:cs="Times New Roman"/>
          <w:sz w:val="22"/>
          <w:szCs w:val="22"/>
        </w:rPr>
      </w:pPr>
    </w:p>
    <w:p w:rsidR="00C429B2" w:rsidRPr="003E0610" w:rsidRDefault="00C429B2" w:rsidP="007F33F3">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147" w:rsidRDefault="00054147" w:rsidP="007F33F3">
      <w:r>
        <w:separator/>
      </w:r>
    </w:p>
  </w:endnote>
  <w:endnote w:type="continuationSeparator" w:id="0">
    <w:p w:rsidR="00054147" w:rsidRDefault="00054147"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147" w:rsidRDefault="00054147" w:rsidP="007F33F3">
      <w:r>
        <w:separator/>
      </w:r>
    </w:p>
  </w:footnote>
  <w:footnote w:type="continuationSeparator" w:id="0">
    <w:p w:rsidR="00054147" w:rsidRDefault="00054147"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0"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0"/>
  </w:num>
  <w:num w:numId="13">
    <w:abstractNumId w:val="15"/>
  </w:num>
  <w:num w:numId="14">
    <w:abstractNumId w:val="5"/>
  </w:num>
  <w:num w:numId="15">
    <w:abstractNumId w:val="13"/>
  </w:num>
  <w:num w:numId="16">
    <w:abstractNumId w:val="6"/>
  </w:num>
  <w:num w:numId="17">
    <w:abstractNumId w:val="1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54147"/>
    <w:rsid w:val="000B0DAF"/>
    <w:rsid w:val="000C1646"/>
    <w:rsid w:val="000E0E3A"/>
    <w:rsid w:val="000E36EA"/>
    <w:rsid w:val="001127B2"/>
    <w:rsid w:val="00130711"/>
    <w:rsid w:val="00140BDC"/>
    <w:rsid w:val="001459DF"/>
    <w:rsid w:val="00147622"/>
    <w:rsid w:val="00161A12"/>
    <w:rsid w:val="00161ABE"/>
    <w:rsid w:val="00162ACC"/>
    <w:rsid w:val="00177B50"/>
    <w:rsid w:val="00192BA5"/>
    <w:rsid w:val="001D1377"/>
    <w:rsid w:val="001E131E"/>
    <w:rsid w:val="001E1A18"/>
    <w:rsid w:val="002002B7"/>
    <w:rsid w:val="00202F2E"/>
    <w:rsid w:val="00213C34"/>
    <w:rsid w:val="00232B68"/>
    <w:rsid w:val="00253F20"/>
    <w:rsid w:val="00257956"/>
    <w:rsid w:val="002A5E46"/>
    <w:rsid w:val="002B3969"/>
    <w:rsid w:val="002C1608"/>
    <w:rsid w:val="002D7496"/>
    <w:rsid w:val="00314601"/>
    <w:rsid w:val="0032666A"/>
    <w:rsid w:val="00330790"/>
    <w:rsid w:val="0038799E"/>
    <w:rsid w:val="003A0195"/>
    <w:rsid w:val="003A76E4"/>
    <w:rsid w:val="003C01AF"/>
    <w:rsid w:val="003E0610"/>
    <w:rsid w:val="00406E53"/>
    <w:rsid w:val="00453B91"/>
    <w:rsid w:val="004A4F88"/>
    <w:rsid w:val="004B5911"/>
    <w:rsid w:val="004C3976"/>
    <w:rsid w:val="00520FB0"/>
    <w:rsid w:val="00541FC8"/>
    <w:rsid w:val="005448BC"/>
    <w:rsid w:val="00545D86"/>
    <w:rsid w:val="00573416"/>
    <w:rsid w:val="005D1626"/>
    <w:rsid w:val="005D1DD2"/>
    <w:rsid w:val="005D5A6A"/>
    <w:rsid w:val="005F1525"/>
    <w:rsid w:val="00605013"/>
    <w:rsid w:val="00613502"/>
    <w:rsid w:val="0066173F"/>
    <w:rsid w:val="00661896"/>
    <w:rsid w:val="006747FF"/>
    <w:rsid w:val="00676C58"/>
    <w:rsid w:val="006D6A98"/>
    <w:rsid w:val="006F24E1"/>
    <w:rsid w:val="006F33BE"/>
    <w:rsid w:val="00717CFF"/>
    <w:rsid w:val="00757157"/>
    <w:rsid w:val="00771E8D"/>
    <w:rsid w:val="007A5A94"/>
    <w:rsid w:val="007F33F3"/>
    <w:rsid w:val="007F53DA"/>
    <w:rsid w:val="00834E94"/>
    <w:rsid w:val="00841378"/>
    <w:rsid w:val="00850AE8"/>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285D"/>
    <w:rsid w:val="009F7602"/>
    <w:rsid w:val="00A31B95"/>
    <w:rsid w:val="00A5456F"/>
    <w:rsid w:val="00A60E42"/>
    <w:rsid w:val="00AA2072"/>
    <w:rsid w:val="00AB16A5"/>
    <w:rsid w:val="00AE5064"/>
    <w:rsid w:val="00AE7382"/>
    <w:rsid w:val="00B324FA"/>
    <w:rsid w:val="00B36248"/>
    <w:rsid w:val="00B50B09"/>
    <w:rsid w:val="00B510EB"/>
    <w:rsid w:val="00B63388"/>
    <w:rsid w:val="00B82FE2"/>
    <w:rsid w:val="00BB2C3E"/>
    <w:rsid w:val="00C001ED"/>
    <w:rsid w:val="00C07E00"/>
    <w:rsid w:val="00C25671"/>
    <w:rsid w:val="00C26D62"/>
    <w:rsid w:val="00C429B2"/>
    <w:rsid w:val="00C47181"/>
    <w:rsid w:val="00C9220B"/>
    <w:rsid w:val="00CC4639"/>
    <w:rsid w:val="00CD6207"/>
    <w:rsid w:val="00CF33A9"/>
    <w:rsid w:val="00CF45DE"/>
    <w:rsid w:val="00CF493F"/>
    <w:rsid w:val="00D134AA"/>
    <w:rsid w:val="00D247C7"/>
    <w:rsid w:val="00D25CA1"/>
    <w:rsid w:val="00D5538B"/>
    <w:rsid w:val="00D57CBB"/>
    <w:rsid w:val="00D63A7C"/>
    <w:rsid w:val="00D700ED"/>
    <w:rsid w:val="00D831E7"/>
    <w:rsid w:val="00DD56E1"/>
    <w:rsid w:val="00E334C5"/>
    <w:rsid w:val="00E9534D"/>
    <w:rsid w:val="00EA577D"/>
    <w:rsid w:val="00ED6926"/>
    <w:rsid w:val="00F421CF"/>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3F82F5AF"/>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nhideWhenUsed/>
    <w:rsid w:val="007F33F3"/>
    <w:pPr>
      <w:tabs>
        <w:tab w:val="center" w:pos="4513"/>
        <w:tab w:val="right" w:pos="9026"/>
      </w:tabs>
    </w:pPr>
  </w:style>
  <w:style w:type="character" w:customStyle="1" w:styleId="HeaderChar">
    <w:name w:val="Header Char"/>
    <w:basedOn w:val="DefaultParagraphFont"/>
    <w:link w:val="Header"/>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2</cp:revision>
  <dcterms:created xsi:type="dcterms:W3CDTF">2022-10-19T05:50:00Z</dcterms:created>
  <dcterms:modified xsi:type="dcterms:W3CDTF">2022-10-19T05:50:00Z</dcterms:modified>
</cp:coreProperties>
</file>