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6F4FE"/>
  <w:body>
    <w:p w:rsidR="00AB16A5" w:rsidRPr="003E0610" w:rsidRDefault="00AB16A5" w:rsidP="00AB16A5">
      <w:pPr>
        <w:pStyle w:val="NormalWeb"/>
        <w:spacing w:line="276" w:lineRule="auto"/>
        <w:jc w:val="center"/>
        <w:rPr>
          <w:rFonts w:ascii="Book Antiqua" w:hAnsi="Book Antiqua"/>
          <w:b/>
          <w:bCs/>
          <w:sz w:val="22"/>
          <w:szCs w:val="22"/>
        </w:rPr>
      </w:pPr>
    </w:p>
    <w:p w:rsidR="005D1DD2" w:rsidRPr="003E0610" w:rsidRDefault="00834E94" w:rsidP="005D1DD2">
      <w:pPr>
        <w:jc w:val="center"/>
        <w:rPr>
          <w:rFonts w:ascii="Book Antiqua" w:hAnsi="Book Antiqua" w:cs="Times New Roman"/>
          <w:b/>
          <w:bCs/>
          <w:sz w:val="22"/>
          <w:szCs w:val="22"/>
        </w:rPr>
      </w:pPr>
      <w:r w:rsidRPr="003E0610">
        <w:rPr>
          <w:rFonts w:ascii="Book Antiqua" w:hAnsi="Book Antiqua" w:cs="Times New Roman"/>
          <w:b/>
          <w:bCs/>
          <w:sz w:val="22"/>
          <w:szCs w:val="22"/>
        </w:rPr>
        <w:t xml:space="preserve">Before </w:t>
      </w:r>
    </w:p>
    <w:p w:rsidR="005D1DD2" w:rsidRPr="003E0610" w:rsidRDefault="005D1DD2" w:rsidP="005D1DD2">
      <w:pPr>
        <w:jc w:val="center"/>
        <w:rPr>
          <w:rFonts w:ascii="Book Antiqua" w:eastAsia="Arial Unicode MS" w:hAnsi="Book Antiqua" w:cs="Times New Roman"/>
          <w:b/>
          <w:bCs/>
          <w:color w:val="000000"/>
          <w:sz w:val="22"/>
          <w:szCs w:val="22"/>
        </w:rPr>
      </w:pPr>
    </w:p>
    <w:p w:rsidR="00192BA5" w:rsidRPr="00CD59D7" w:rsidRDefault="00192BA5" w:rsidP="00192BA5">
      <w:pPr>
        <w:pStyle w:val="NormalWeb"/>
        <w:spacing w:line="276" w:lineRule="auto"/>
        <w:jc w:val="center"/>
        <w:rPr>
          <w:rFonts w:ascii="Book Antiqua" w:hAnsi="Book Antiqua"/>
          <w:b/>
          <w:sz w:val="22"/>
          <w:szCs w:val="22"/>
        </w:rPr>
      </w:pPr>
      <w:r>
        <w:rPr>
          <w:rFonts w:ascii="Book Antiqua" w:hAnsi="Book Antiqua"/>
          <w:b/>
          <w:sz w:val="22"/>
          <w:szCs w:val="22"/>
        </w:rPr>
        <w:t>Abid Hussain</w:t>
      </w:r>
      <w:r w:rsidRPr="00CD59D7">
        <w:rPr>
          <w:rFonts w:ascii="Book Antiqua" w:hAnsi="Book Antiqua"/>
          <w:b/>
          <w:sz w:val="22"/>
          <w:szCs w:val="22"/>
        </w:rPr>
        <w:t xml:space="preserve"> – </w:t>
      </w:r>
      <w:r>
        <w:rPr>
          <w:rFonts w:ascii="Book Antiqua" w:hAnsi="Book Antiqua"/>
          <w:b/>
          <w:sz w:val="22"/>
          <w:szCs w:val="22"/>
        </w:rPr>
        <w:t xml:space="preserve">Executive </w:t>
      </w:r>
      <w:r w:rsidRPr="00CD59D7">
        <w:rPr>
          <w:rFonts w:ascii="Book Antiqua" w:hAnsi="Book Antiqua"/>
          <w:b/>
          <w:sz w:val="22"/>
          <w:szCs w:val="22"/>
        </w:rPr>
        <w:t>Director/ Head of Department</w:t>
      </w:r>
    </w:p>
    <w:p w:rsidR="007F33F3" w:rsidRPr="003E0610" w:rsidRDefault="007F33F3" w:rsidP="007F33F3">
      <w:pPr>
        <w:jc w:val="both"/>
        <w:rPr>
          <w:rFonts w:ascii="Book Antiqua" w:hAnsi="Book Antiqua" w:cs="Times New Roman"/>
          <w:b/>
          <w:bCs/>
          <w:sz w:val="22"/>
          <w:szCs w:val="22"/>
          <w:u w:val="single"/>
        </w:rPr>
      </w:pPr>
    </w:p>
    <w:p w:rsidR="00192BA5" w:rsidRPr="00CD59D7" w:rsidRDefault="007F33F3" w:rsidP="00192BA5">
      <w:pPr>
        <w:spacing w:line="276" w:lineRule="auto"/>
        <w:jc w:val="center"/>
        <w:rPr>
          <w:rFonts w:ascii="Book Antiqua" w:hAnsi="Book Antiqua"/>
          <w:b/>
          <w:sz w:val="22"/>
          <w:szCs w:val="22"/>
        </w:rPr>
      </w:pPr>
      <w:r w:rsidRPr="003E0610">
        <w:rPr>
          <w:rFonts w:ascii="Book Antiqua" w:hAnsi="Book Antiqua" w:cs="Times New Roman"/>
          <w:b/>
          <w:bCs/>
          <w:sz w:val="22"/>
          <w:szCs w:val="22"/>
          <w:u w:val="single"/>
        </w:rPr>
        <w:t>In the matter of</w:t>
      </w:r>
      <w:r w:rsidR="0088646B" w:rsidRPr="003E0610">
        <w:rPr>
          <w:rFonts w:ascii="Book Antiqua" w:hAnsi="Book Antiqua" w:cs="Times New Roman"/>
          <w:b/>
          <w:bCs/>
          <w:sz w:val="22"/>
          <w:szCs w:val="22"/>
          <w:u w:val="single"/>
        </w:rPr>
        <w:t xml:space="preserve"> Show Cause Notice issued to</w:t>
      </w:r>
      <w:r w:rsidR="00F6183A" w:rsidRPr="003E0610">
        <w:rPr>
          <w:rFonts w:ascii="Book Antiqua" w:hAnsi="Book Antiqua" w:cs="Times New Roman"/>
          <w:b/>
          <w:bCs/>
          <w:sz w:val="22"/>
          <w:szCs w:val="22"/>
          <w:u w:val="single"/>
        </w:rPr>
        <w:t xml:space="preserve"> </w:t>
      </w:r>
      <w:r w:rsidR="00192BA5" w:rsidRPr="00192BA5">
        <w:rPr>
          <w:rFonts w:ascii="Book Antiqua" w:hAnsi="Book Antiqua"/>
          <w:b/>
          <w:sz w:val="22"/>
          <w:szCs w:val="22"/>
          <w:u w:val="single"/>
        </w:rPr>
        <w:t>Khyber Textile Mills Limited</w:t>
      </w:r>
    </w:p>
    <w:p w:rsidR="007F33F3" w:rsidRPr="003E0610" w:rsidRDefault="007F33F3" w:rsidP="007F33F3">
      <w:pPr>
        <w:tabs>
          <w:tab w:val="left" w:pos="1080"/>
        </w:tabs>
        <w:jc w:val="center"/>
        <w:rPr>
          <w:rFonts w:ascii="Book Antiqua" w:hAnsi="Book Antiqua" w:cs="Times New Roman"/>
          <w:b/>
          <w:bCs/>
          <w:sz w:val="22"/>
          <w:szCs w:val="22"/>
          <w:u w:val="single"/>
        </w:rPr>
      </w:pPr>
    </w:p>
    <w:p w:rsidR="007F33F3" w:rsidRPr="003E0610" w:rsidRDefault="007F33F3" w:rsidP="007F33F3">
      <w:pPr>
        <w:jc w:val="both"/>
        <w:rPr>
          <w:rFonts w:ascii="Book Antiqua" w:hAnsi="Book Antiqua"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7F33F3" w:rsidRPr="003E0610" w:rsidTr="00991511">
        <w:trPr>
          <w:trHeight w:hRule="exact" w:val="965"/>
        </w:trPr>
        <w:tc>
          <w:tcPr>
            <w:tcW w:w="4717" w:type="dxa"/>
            <w:tcBorders>
              <w:bottom w:val="single" w:sz="4" w:space="0" w:color="auto"/>
            </w:tcBorders>
            <w:vAlign w:val="center"/>
          </w:tcPr>
          <w:p w:rsidR="007F33F3" w:rsidRPr="003E0610" w:rsidRDefault="007F33F3" w:rsidP="00991511">
            <w:pPr>
              <w:tabs>
                <w:tab w:val="left" w:pos="9450"/>
              </w:tabs>
              <w:ind w:right="75"/>
              <w:jc w:val="both"/>
              <w:outlineLvl w:val="0"/>
              <w:rPr>
                <w:rFonts w:ascii="Book Antiqua" w:hAnsi="Book Antiqua" w:cs="Times New Roman"/>
                <w:bCs/>
                <w:sz w:val="22"/>
                <w:szCs w:val="22"/>
              </w:rPr>
            </w:pPr>
            <w:r w:rsidRPr="003E0610">
              <w:rPr>
                <w:rFonts w:ascii="Book Antiqua" w:hAnsi="Book Antiqua" w:cs="Times New Roman"/>
                <w:bCs/>
                <w:sz w:val="22"/>
                <w:szCs w:val="22"/>
              </w:rPr>
              <w:t>Dates of Hearing</w:t>
            </w:r>
          </w:p>
        </w:tc>
        <w:tc>
          <w:tcPr>
            <w:tcW w:w="4624" w:type="dxa"/>
            <w:tcBorders>
              <w:bottom w:val="single" w:sz="4" w:space="0" w:color="auto"/>
            </w:tcBorders>
            <w:vAlign w:val="center"/>
          </w:tcPr>
          <w:p w:rsidR="00FE6A81" w:rsidRPr="003E0610" w:rsidRDefault="00192BA5" w:rsidP="00192BA5">
            <w:pPr>
              <w:spacing w:line="276" w:lineRule="auto"/>
              <w:rPr>
                <w:rFonts w:ascii="Book Antiqua" w:hAnsi="Book Antiqua"/>
                <w:sz w:val="22"/>
                <w:szCs w:val="22"/>
              </w:rPr>
            </w:pPr>
            <w:r>
              <w:rPr>
                <w:rFonts w:ascii="Book Antiqua" w:hAnsi="Book Antiqua"/>
                <w:sz w:val="22"/>
                <w:szCs w:val="22"/>
              </w:rPr>
              <w:t>September 12, 2022</w:t>
            </w:r>
          </w:p>
        </w:tc>
      </w:tr>
    </w:tbl>
    <w:p w:rsidR="007F33F3" w:rsidRPr="003E0610" w:rsidRDefault="007F33F3" w:rsidP="007F33F3">
      <w:pPr>
        <w:jc w:val="both"/>
        <w:rPr>
          <w:rFonts w:ascii="Book Antiqua" w:hAnsi="Book Antiqua" w:cs="Times New Roman"/>
          <w:b/>
          <w:sz w:val="22"/>
          <w:szCs w:val="22"/>
        </w:rPr>
      </w:pPr>
    </w:p>
    <w:p w:rsidR="007F33F3" w:rsidRPr="003E0610" w:rsidRDefault="007F33F3" w:rsidP="007F33F3">
      <w:pPr>
        <w:jc w:val="center"/>
        <w:rPr>
          <w:rFonts w:ascii="Book Antiqua" w:hAnsi="Book Antiqua" w:cs="Times New Roman"/>
          <w:b/>
          <w:sz w:val="22"/>
          <w:szCs w:val="22"/>
        </w:rPr>
      </w:pPr>
      <w:r w:rsidRPr="003E0610">
        <w:rPr>
          <w:rFonts w:ascii="Book Antiqua" w:hAnsi="Book Antiqua" w:cs="Times New Roman"/>
          <w:b/>
          <w:sz w:val="22"/>
          <w:szCs w:val="22"/>
        </w:rPr>
        <w:t>Order-Redacted Version</w:t>
      </w:r>
    </w:p>
    <w:p w:rsidR="007F33F3" w:rsidRPr="003E0610" w:rsidRDefault="007F33F3" w:rsidP="007F33F3">
      <w:pPr>
        <w:jc w:val="both"/>
        <w:rPr>
          <w:rFonts w:ascii="Book Antiqua" w:hAnsi="Book Antiqua" w:cs="Times New Roman"/>
          <w:sz w:val="22"/>
          <w:szCs w:val="22"/>
          <w:u w:val="single"/>
        </w:rPr>
      </w:pPr>
    </w:p>
    <w:p w:rsidR="007F33F3" w:rsidRPr="003E0610" w:rsidRDefault="00A31B95" w:rsidP="00B63388">
      <w:pPr>
        <w:tabs>
          <w:tab w:val="left" w:pos="1080"/>
        </w:tabs>
        <w:ind w:right="-188"/>
        <w:jc w:val="both"/>
        <w:rPr>
          <w:rFonts w:ascii="Book Antiqua" w:hAnsi="Book Antiqua" w:cs="Times New Roman"/>
          <w:sz w:val="22"/>
          <w:szCs w:val="22"/>
        </w:rPr>
      </w:pPr>
      <w:r w:rsidRPr="003E0610">
        <w:rPr>
          <w:rFonts w:ascii="Book Antiqua" w:hAnsi="Book Antiqua" w:cs="Times New Roman"/>
          <w:sz w:val="22"/>
          <w:szCs w:val="22"/>
        </w:rPr>
        <w:tab/>
      </w:r>
      <w:r w:rsidR="007F33F3" w:rsidRPr="003E0610">
        <w:rPr>
          <w:rFonts w:ascii="Book Antiqua" w:hAnsi="Book Antiqua" w:cs="Times New Roman"/>
          <w:sz w:val="22"/>
          <w:szCs w:val="22"/>
        </w:rPr>
        <w:t xml:space="preserve">Order dated </w:t>
      </w:r>
      <w:r w:rsidR="00192BA5">
        <w:rPr>
          <w:rFonts w:ascii="Book Antiqua" w:hAnsi="Book Antiqua" w:cs="Times New Roman"/>
          <w:sz w:val="22"/>
          <w:szCs w:val="22"/>
        </w:rPr>
        <w:t>September 22</w:t>
      </w:r>
      <w:r w:rsidR="005D1DD2" w:rsidRPr="003E0610">
        <w:rPr>
          <w:rFonts w:ascii="Book Antiqua" w:hAnsi="Book Antiqua" w:cs="Times New Roman"/>
          <w:sz w:val="22"/>
          <w:szCs w:val="22"/>
        </w:rPr>
        <w:t>, 2022</w:t>
      </w:r>
      <w:r w:rsidR="009043D6" w:rsidRPr="003E0610">
        <w:rPr>
          <w:rFonts w:ascii="Book Antiqua" w:hAnsi="Book Antiqua" w:cs="Times New Roman"/>
          <w:sz w:val="22"/>
          <w:szCs w:val="22"/>
        </w:rPr>
        <w:t xml:space="preserve"> </w:t>
      </w:r>
      <w:r w:rsidR="007F33F3" w:rsidRPr="003E0610">
        <w:rPr>
          <w:rFonts w:ascii="Book Antiqua" w:hAnsi="Book Antiqua" w:cs="Times New Roman"/>
          <w:sz w:val="22"/>
          <w:szCs w:val="22"/>
        </w:rPr>
        <w:t>was passed by Director/Head of Department (Adjudication-I) in the matter of</w:t>
      </w:r>
      <w:r w:rsidR="009043D6" w:rsidRPr="003E0610">
        <w:rPr>
          <w:rFonts w:ascii="Book Antiqua" w:hAnsi="Book Antiqua" w:cs="Times New Roman"/>
          <w:sz w:val="22"/>
          <w:szCs w:val="22"/>
        </w:rPr>
        <w:t xml:space="preserve"> </w:t>
      </w:r>
      <w:r w:rsidR="00192BA5">
        <w:rPr>
          <w:rFonts w:ascii="Book Antiqua" w:hAnsi="Book Antiqua"/>
          <w:sz w:val="22"/>
          <w:szCs w:val="22"/>
        </w:rPr>
        <w:t xml:space="preserve">Khyber Textile Mills </w:t>
      </w:r>
      <w:r w:rsidR="00192BA5" w:rsidRPr="004F31AE">
        <w:rPr>
          <w:rFonts w:ascii="Book Antiqua" w:hAnsi="Book Antiqua"/>
          <w:sz w:val="22"/>
          <w:szCs w:val="22"/>
        </w:rPr>
        <w:t>Limited</w:t>
      </w:r>
      <w:r w:rsidR="007F33F3" w:rsidRPr="003E0610">
        <w:rPr>
          <w:rFonts w:ascii="Book Antiqua" w:hAnsi="Book Antiqua" w:cs="Times New Roman"/>
          <w:sz w:val="22"/>
          <w:szCs w:val="22"/>
        </w:rPr>
        <w:t>. Relevant details are given as hereunder:</w:t>
      </w:r>
    </w:p>
    <w:p w:rsidR="007F33F3" w:rsidRPr="003E0610" w:rsidRDefault="007F33F3" w:rsidP="007F33F3">
      <w:pPr>
        <w:ind w:firstLine="720"/>
        <w:jc w:val="both"/>
        <w:rPr>
          <w:rFonts w:ascii="Book Antiqua" w:hAnsi="Book Antiqua" w:cs="Times New Roman"/>
          <w:sz w:val="22"/>
          <w:szCs w:val="22"/>
        </w:rPr>
      </w:pPr>
    </w:p>
    <w:tbl>
      <w:tblPr>
        <w:tblStyle w:val="TableGrid"/>
        <w:tblW w:w="9265" w:type="dxa"/>
        <w:tblLook w:val="04A0" w:firstRow="1" w:lastRow="0" w:firstColumn="1" w:lastColumn="0" w:noHBand="0" w:noVBand="1"/>
      </w:tblPr>
      <w:tblGrid>
        <w:gridCol w:w="2605"/>
        <w:gridCol w:w="6660"/>
      </w:tblGrid>
      <w:tr w:rsidR="007F33F3" w:rsidRPr="003E0610" w:rsidTr="00991511">
        <w:tc>
          <w:tcPr>
            <w:tcW w:w="2605" w:type="dxa"/>
          </w:tcPr>
          <w:p w:rsidR="007F33F3" w:rsidRPr="003E0610" w:rsidRDefault="007F33F3" w:rsidP="00991511">
            <w:pPr>
              <w:jc w:val="center"/>
              <w:rPr>
                <w:rFonts w:ascii="Book Antiqua" w:hAnsi="Book Antiqua" w:cs="Times New Roman"/>
                <w:b/>
                <w:sz w:val="22"/>
                <w:szCs w:val="22"/>
              </w:rPr>
            </w:pPr>
            <w:r w:rsidRPr="003E0610">
              <w:rPr>
                <w:rFonts w:ascii="Book Antiqua" w:hAnsi="Book Antiqua" w:cs="Times New Roman"/>
                <w:b/>
                <w:sz w:val="22"/>
                <w:szCs w:val="22"/>
              </w:rPr>
              <w:t>Nature</w:t>
            </w:r>
          </w:p>
        </w:tc>
        <w:tc>
          <w:tcPr>
            <w:tcW w:w="6660" w:type="dxa"/>
          </w:tcPr>
          <w:p w:rsidR="007F33F3" w:rsidRPr="003E0610" w:rsidRDefault="007F33F3" w:rsidP="00991511">
            <w:pPr>
              <w:jc w:val="center"/>
              <w:rPr>
                <w:rFonts w:ascii="Book Antiqua" w:hAnsi="Book Antiqua" w:cs="Times New Roman"/>
                <w:b/>
                <w:sz w:val="22"/>
                <w:szCs w:val="22"/>
              </w:rPr>
            </w:pPr>
            <w:r w:rsidRPr="003E0610">
              <w:rPr>
                <w:rFonts w:ascii="Book Antiqua" w:hAnsi="Book Antiqua" w:cs="Times New Roman"/>
                <w:b/>
                <w:sz w:val="22"/>
                <w:szCs w:val="22"/>
              </w:rPr>
              <w:t>Details</w:t>
            </w:r>
          </w:p>
        </w:tc>
      </w:tr>
      <w:tr w:rsidR="007F33F3" w:rsidRPr="003E0610" w:rsidTr="00991511">
        <w:tc>
          <w:tcPr>
            <w:tcW w:w="2605" w:type="dxa"/>
          </w:tcPr>
          <w:p w:rsidR="007F33F3" w:rsidRPr="003E0610" w:rsidRDefault="007F33F3" w:rsidP="007F33F3">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Date of Action</w:t>
            </w:r>
          </w:p>
          <w:p w:rsidR="007F33F3" w:rsidRPr="003E0610" w:rsidRDefault="007F33F3" w:rsidP="00991511">
            <w:pPr>
              <w:jc w:val="both"/>
              <w:rPr>
                <w:rFonts w:ascii="Book Antiqua" w:hAnsi="Book Antiqua" w:cs="Times New Roman"/>
                <w:sz w:val="22"/>
                <w:szCs w:val="22"/>
              </w:rPr>
            </w:pPr>
          </w:p>
        </w:tc>
        <w:tc>
          <w:tcPr>
            <w:tcW w:w="6660" w:type="dxa"/>
          </w:tcPr>
          <w:p w:rsidR="007F33F3" w:rsidRPr="003E0610" w:rsidRDefault="007F33F3" w:rsidP="00991511">
            <w:pPr>
              <w:jc w:val="both"/>
              <w:rPr>
                <w:rFonts w:ascii="Book Antiqua" w:hAnsi="Book Antiqua" w:cs="Times New Roman"/>
                <w:sz w:val="22"/>
                <w:szCs w:val="22"/>
              </w:rPr>
            </w:pPr>
            <w:r w:rsidRPr="003E0610">
              <w:rPr>
                <w:rFonts w:ascii="Book Antiqua" w:hAnsi="Book Antiqua" w:cs="Times New Roman"/>
                <w:sz w:val="22"/>
                <w:szCs w:val="22"/>
              </w:rPr>
              <w:t xml:space="preserve">Show cause notice dated </w:t>
            </w:r>
            <w:r w:rsidR="00192BA5">
              <w:rPr>
                <w:rFonts w:ascii="Book Antiqua" w:hAnsi="Book Antiqua" w:cs="Times New Roman"/>
                <w:sz w:val="22"/>
                <w:szCs w:val="22"/>
              </w:rPr>
              <w:t>August 19</w:t>
            </w:r>
            <w:r w:rsidR="00192BA5" w:rsidRPr="00CD59D7">
              <w:rPr>
                <w:rFonts w:ascii="Book Antiqua" w:hAnsi="Book Antiqua" w:cs="Times New Roman"/>
                <w:sz w:val="22"/>
                <w:szCs w:val="22"/>
              </w:rPr>
              <w:t>, 2022</w:t>
            </w:r>
          </w:p>
        </w:tc>
      </w:tr>
      <w:tr w:rsidR="007F33F3" w:rsidRPr="003E0610" w:rsidTr="00991511">
        <w:tc>
          <w:tcPr>
            <w:tcW w:w="2605" w:type="dxa"/>
          </w:tcPr>
          <w:p w:rsidR="007F33F3" w:rsidRPr="003E0610" w:rsidRDefault="007F33F3" w:rsidP="007F33F3">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Name of Company</w:t>
            </w:r>
          </w:p>
          <w:p w:rsidR="007F33F3" w:rsidRPr="003E0610" w:rsidRDefault="007F33F3" w:rsidP="00991511">
            <w:pPr>
              <w:jc w:val="both"/>
              <w:rPr>
                <w:rFonts w:ascii="Book Antiqua" w:hAnsi="Book Antiqua" w:cs="Times New Roman"/>
                <w:sz w:val="22"/>
                <w:szCs w:val="22"/>
              </w:rPr>
            </w:pPr>
          </w:p>
        </w:tc>
        <w:tc>
          <w:tcPr>
            <w:tcW w:w="6660" w:type="dxa"/>
          </w:tcPr>
          <w:p w:rsidR="007F33F3" w:rsidRPr="003E0610" w:rsidRDefault="00192BA5" w:rsidP="00991511">
            <w:pPr>
              <w:jc w:val="both"/>
              <w:rPr>
                <w:rFonts w:ascii="Book Antiqua" w:hAnsi="Book Antiqua" w:cs="Times New Roman"/>
                <w:sz w:val="22"/>
                <w:szCs w:val="22"/>
              </w:rPr>
            </w:pPr>
            <w:r>
              <w:rPr>
                <w:rFonts w:ascii="Book Antiqua" w:hAnsi="Book Antiqua"/>
                <w:sz w:val="22"/>
                <w:szCs w:val="22"/>
              </w:rPr>
              <w:t xml:space="preserve">Khyber Textile Mills </w:t>
            </w:r>
            <w:r w:rsidRPr="004F31AE">
              <w:rPr>
                <w:rFonts w:ascii="Book Antiqua" w:hAnsi="Book Antiqua"/>
                <w:sz w:val="22"/>
                <w:szCs w:val="22"/>
              </w:rPr>
              <w:t>Limited</w:t>
            </w:r>
          </w:p>
        </w:tc>
      </w:tr>
      <w:tr w:rsidR="00FD6E1D" w:rsidRPr="003E0610" w:rsidTr="00991511">
        <w:tc>
          <w:tcPr>
            <w:tcW w:w="2605" w:type="dxa"/>
          </w:tcPr>
          <w:p w:rsidR="00FD6E1D" w:rsidRPr="003E0610" w:rsidRDefault="00FD6E1D" w:rsidP="00FD6E1D">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Name of Individual</w:t>
            </w:r>
          </w:p>
        </w:tc>
        <w:tc>
          <w:tcPr>
            <w:tcW w:w="6660" w:type="dxa"/>
          </w:tcPr>
          <w:p w:rsidR="00FD6E1D" w:rsidRPr="003E0610" w:rsidRDefault="00FD6E1D" w:rsidP="00FD6E1D">
            <w:pPr>
              <w:jc w:val="both"/>
              <w:rPr>
                <w:rFonts w:ascii="Book Antiqua" w:hAnsi="Book Antiqua" w:cs="Times New Roman"/>
                <w:sz w:val="22"/>
                <w:szCs w:val="22"/>
              </w:rPr>
            </w:pPr>
            <w:r w:rsidRPr="003E0610">
              <w:rPr>
                <w:rFonts w:ascii="Book Antiqua" w:hAnsi="Book Antiqua" w:cs="Times New Roman"/>
                <w:sz w:val="22"/>
                <w:szCs w:val="22"/>
              </w:rPr>
              <w:t>The proceedings were initiated against the</w:t>
            </w:r>
            <w:r w:rsidR="00834E94" w:rsidRPr="003E0610">
              <w:rPr>
                <w:rFonts w:ascii="Book Antiqua" w:hAnsi="Book Antiqua" w:cs="Times New Roman"/>
                <w:sz w:val="22"/>
                <w:szCs w:val="22"/>
              </w:rPr>
              <w:t xml:space="preserve"> board of directors of the</w:t>
            </w:r>
            <w:r w:rsidRPr="003E0610">
              <w:rPr>
                <w:rFonts w:ascii="Book Antiqua" w:hAnsi="Book Antiqua" w:cs="Times New Roman"/>
                <w:sz w:val="22"/>
                <w:szCs w:val="22"/>
              </w:rPr>
              <w:t xml:space="preserve"> Company </w:t>
            </w:r>
          </w:p>
        </w:tc>
      </w:tr>
      <w:tr w:rsidR="00FD6E1D" w:rsidRPr="003E0610" w:rsidTr="00991511">
        <w:tc>
          <w:tcPr>
            <w:tcW w:w="2605" w:type="dxa"/>
          </w:tcPr>
          <w:p w:rsidR="00FD6E1D" w:rsidRPr="003E0610" w:rsidRDefault="00FD6E1D" w:rsidP="00FD6E1D">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Nature of Offence</w:t>
            </w:r>
          </w:p>
          <w:p w:rsidR="00FD6E1D" w:rsidRPr="003E0610" w:rsidRDefault="00FD6E1D" w:rsidP="00FD6E1D">
            <w:pPr>
              <w:jc w:val="both"/>
              <w:rPr>
                <w:rFonts w:ascii="Book Antiqua" w:hAnsi="Book Antiqua" w:cs="Times New Roman"/>
                <w:sz w:val="22"/>
                <w:szCs w:val="22"/>
              </w:rPr>
            </w:pPr>
          </w:p>
        </w:tc>
        <w:tc>
          <w:tcPr>
            <w:tcW w:w="6660" w:type="dxa"/>
          </w:tcPr>
          <w:p w:rsidR="003E0610" w:rsidRDefault="00FD6E1D" w:rsidP="003E0610">
            <w:pPr>
              <w:jc w:val="both"/>
              <w:rPr>
                <w:rFonts w:ascii="Book Antiqua" w:hAnsi="Book Antiqua"/>
                <w:sz w:val="22"/>
                <w:szCs w:val="22"/>
              </w:rPr>
            </w:pPr>
            <w:r w:rsidRPr="003E0610">
              <w:rPr>
                <w:rFonts w:ascii="Book Antiqua" w:hAnsi="Book Antiqua" w:cs="Times New Roman"/>
                <w:sz w:val="22"/>
                <w:szCs w:val="22"/>
              </w:rPr>
              <w:t xml:space="preserve">Proceedings were initiated in terms of </w:t>
            </w:r>
            <w:r w:rsidR="00B36248" w:rsidRPr="004F31AE">
              <w:rPr>
                <w:rFonts w:ascii="Book Antiqua" w:hAnsi="Book Antiqua"/>
                <w:sz w:val="22"/>
                <w:szCs w:val="22"/>
              </w:rPr>
              <w:t xml:space="preserve">Regulation 6 </w:t>
            </w:r>
            <w:r w:rsidR="00B36248">
              <w:rPr>
                <w:rFonts w:ascii="Book Antiqua" w:hAnsi="Book Antiqua"/>
                <w:sz w:val="22"/>
                <w:szCs w:val="22"/>
              </w:rPr>
              <w:t xml:space="preserve">(1) </w:t>
            </w:r>
            <w:r w:rsidR="00B36248" w:rsidRPr="004F31AE">
              <w:rPr>
                <w:rFonts w:ascii="Book Antiqua" w:hAnsi="Book Antiqua"/>
                <w:sz w:val="22"/>
                <w:szCs w:val="22"/>
              </w:rPr>
              <w:t xml:space="preserve">and Regulation </w:t>
            </w:r>
            <w:r w:rsidR="00B36248">
              <w:rPr>
                <w:rFonts w:ascii="Book Antiqua" w:hAnsi="Book Antiqua"/>
                <w:sz w:val="22"/>
                <w:szCs w:val="22"/>
              </w:rPr>
              <w:t>36 (1)</w:t>
            </w:r>
            <w:r w:rsidR="00B36248" w:rsidRPr="004F31AE">
              <w:rPr>
                <w:rFonts w:ascii="Book Antiqua" w:hAnsi="Book Antiqua"/>
                <w:sz w:val="22"/>
                <w:szCs w:val="22"/>
              </w:rPr>
              <w:t xml:space="preserve"> of the Listed Companies (Code of Corporate Governance) Regulations, 2019</w:t>
            </w:r>
            <w:r w:rsidR="00B36248">
              <w:rPr>
                <w:rFonts w:ascii="Book Antiqua" w:hAnsi="Book Antiqua"/>
                <w:sz w:val="22"/>
                <w:szCs w:val="22"/>
              </w:rPr>
              <w:t xml:space="preserve"> </w:t>
            </w:r>
            <w:r w:rsidR="00B36248" w:rsidRPr="004F31AE">
              <w:rPr>
                <w:rFonts w:ascii="Book Antiqua" w:hAnsi="Book Antiqua"/>
                <w:sz w:val="22"/>
                <w:szCs w:val="22"/>
              </w:rPr>
              <w:t>read with Regulation 37 thereof and Section 512 of the Companies Act, 2017</w:t>
            </w:r>
            <w:r w:rsidR="00B36248">
              <w:rPr>
                <w:rFonts w:ascii="Book Antiqua" w:hAnsi="Book Antiqua"/>
                <w:sz w:val="22"/>
                <w:szCs w:val="22"/>
              </w:rPr>
              <w:t xml:space="preserve"> </w:t>
            </w:r>
          </w:p>
          <w:p w:rsidR="00B36248" w:rsidRPr="003E0610" w:rsidRDefault="00B36248" w:rsidP="003E0610">
            <w:pPr>
              <w:jc w:val="both"/>
              <w:rPr>
                <w:rFonts w:ascii="Book Antiqua" w:hAnsi="Book Antiqua"/>
                <w:sz w:val="22"/>
                <w:szCs w:val="22"/>
              </w:rPr>
            </w:pPr>
          </w:p>
          <w:p w:rsidR="003E0610" w:rsidRPr="003E0610" w:rsidRDefault="00192BA5" w:rsidP="00FE6A81">
            <w:pPr>
              <w:pStyle w:val="BodyText"/>
              <w:jc w:val="both"/>
              <w:rPr>
                <w:rFonts w:ascii="Book Antiqua" w:hAnsi="Book Antiqua" w:cs="Times New Roman"/>
                <w:sz w:val="22"/>
                <w:szCs w:val="22"/>
              </w:rPr>
            </w:pPr>
            <w:r w:rsidRPr="00192BA5">
              <w:rPr>
                <w:rFonts w:ascii="Book Antiqua" w:hAnsi="Book Antiqua"/>
                <w:sz w:val="22"/>
              </w:rPr>
              <w:t xml:space="preserve">Brief </w:t>
            </w:r>
            <w:r w:rsidR="00B36248" w:rsidRPr="00B36248">
              <w:rPr>
                <w:rFonts w:ascii="Book Antiqua" w:hAnsi="Book Antiqua"/>
                <w:sz w:val="22"/>
              </w:rPr>
              <w:t>Facts of the case are that the Company held election of directors in its annual general meeting (</w:t>
            </w:r>
            <w:r w:rsidR="00B36248" w:rsidRPr="00B36248">
              <w:rPr>
                <w:rFonts w:ascii="Book Antiqua" w:hAnsi="Book Antiqua"/>
                <w:b/>
                <w:sz w:val="22"/>
              </w:rPr>
              <w:t>the</w:t>
            </w:r>
            <w:r w:rsidR="00B36248" w:rsidRPr="00B36248">
              <w:rPr>
                <w:rFonts w:ascii="Book Antiqua" w:hAnsi="Book Antiqua"/>
                <w:sz w:val="22"/>
              </w:rPr>
              <w:t xml:space="preserve"> </w:t>
            </w:r>
            <w:r w:rsidR="00B36248" w:rsidRPr="00B36248">
              <w:rPr>
                <w:rFonts w:ascii="Book Antiqua" w:hAnsi="Book Antiqua"/>
                <w:b/>
                <w:sz w:val="22"/>
              </w:rPr>
              <w:t>AGM</w:t>
            </w:r>
            <w:r w:rsidR="00B36248" w:rsidRPr="00B36248">
              <w:rPr>
                <w:rFonts w:ascii="Book Antiqua" w:hAnsi="Book Antiqua"/>
                <w:sz w:val="22"/>
              </w:rPr>
              <w:t xml:space="preserve">) on October 25, 2019 wherein seven directors were elected including one independent director namely Mr. </w:t>
            </w:r>
            <w:r w:rsidR="00465F23">
              <w:rPr>
                <w:rFonts w:ascii="Book Antiqua" w:hAnsi="Book Antiqua"/>
                <w:sz w:val="22"/>
              </w:rPr>
              <w:t>*****</w:t>
            </w:r>
            <w:r w:rsidR="00B36248" w:rsidRPr="00B36248">
              <w:rPr>
                <w:rFonts w:ascii="Book Antiqua" w:hAnsi="Book Antiqua"/>
                <w:sz w:val="22"/>
              </w:rPr>
              <w:t xml:space="preserve"> as against the requirement of appointing at least two (2) or one third members of board, whichever is higher as independent directors in terms of regulation 6 of the Regulations. Moreover review of the audited financial statements for the periods ended June 30, 2019, June 30, 2020 and June 30, 2021 (</w:t>
            </w:r>
            <w:r w:rsidR="00B36248" w:rsidRPr="00B36248">
              <w:rPr>
                <w:rFonts w:ascii="Book Antiqua" w:hAnsi="Book Antiqua"/>
                <w:b/>
                <w:sz w:val="22"/>
              </w:rPr>
              <w:t>the Accounts</w:t>
            </w:r>
            <w:r w:rsidR="00B36248" w:rsidRPr="00B36248">
              <w:rPr>
                <w:rFonts w:ascii="Book Antiqua" w:hAnsi="Book Antiqua"/>
                <w:sz w:val="22"/>
              </w:rPr>
              <w:t>) transpired that despite having only one independent director on its Board, the Company in its Statement of Compliance with the Regulations for the year ended June 30, 2021 stated that it has complied with all mandatory provisions of the Regulations thus violating the provisions of regulation 36(1) of the Regulations.</w:t>
            </w:r>
          </w:p>
        </w:tc>
      </w:tr>
      <w:tr w:rsidR="00FD6E1D" w:rsidRPr="003E0610" w:rsidTr="00991511">
        <w:tc>
          <w:tcPr>
            <w:tcW w:w="2605" w:type="dxa"/>
          </w:tcPr>
          <w:p w:rsidR="00FD6E1D" w:rsidRPr="003E0610" w:rsidRDefault="00FD6E1D" w:rsidP="00FD6E1D">
            <w:pPr>
              <w:pStyle w:val="NoSpacing"/>
              <w:numPr>
                <w:ilvl w:val="0"/>
                <w:numId w:val="1"/>
              </w:numPr>
              <w:ind w:left="334"/>
              <w:rPr>
                <w:rFonts w:ascii="Book Antiqua" w:hAnsi="Book Antiqua" w:cs="Times New Roman"/>
                <w:sz w:val="22"/>
                <w:szCs w:val="22"/>
              </w:rPr>
            </w:pPr>
            <w:r w:rsidRPr="003E0610">
              <w:rPr>
                <w:rFonts w:ascii="Book Antiqua" w:hAnsi="Book Antiqua" w:cs="Times New Roman"/>
                <w:sz w:val="22"/>
                <w:szCs w:val="22"/>
              </w:rPr>
              <w:t>Action Taken</w:t>
            </w:r>
          </w:p>
          <w:p w:rsidR="00FD6E1D" w:rsidRPr="003E0610" w:rsidRDefault="00FD6E1D" w:rsidP="00FD6E1D">
            <w:pPr>
              <w:jc w:val="both"/>
              <w:rPr>
                <w:rFonts w:ascii="Book Antiqua" w:hAnsi="Book Antiqua" w:cs="Times New Roman"/>
                <w:sz w:val="22"/>
                <w:szCs w:val="22"/>
              </w:rPr>
            </w:pPr>
          </w:p>
        </w:tc>
        <w:tc>
          <w:tcPr>
            <w:tcW w:w="6660" w:type="dxa"/>
          </w:tcPr>
          <w:p w:rsidR="00963191" w:rsidRPr="003E0610" w:rsidRDefault="00963191" w:rsidP="00963191">
            <w:pPr>
              <w:tabs>
                <w:tab w:val="left" w:pos="0"/>
              </w:tabs>
              <w:autoSpaceDE w:val="0"/>
              <w:autoSpaceDN w:val="0"/>
              <w:adjustRightInd w:val="0"/>
              <w:spacing w:line="276" w:lineRule="auto"/>
              <w:jc w:val="both"/>
              <w:rPr>
                <w:rFonts w:ascii="Book Antiqua" w:hAnsi="Book Antiqua" w:cs="Times New Roman"/>
                <w:sz w:val="22"/>
                <w:szCs w:val="22"/>
              </w:rPr>
            </w:pPr>
            <w:r w:rsidRPr="003E0610">
              <w:rPr>
                <w:rFonts w:ascii="Book Antiqua" w:hAnsi="Book Antiqua" w:cs="Times New Roman"/>
                <w:sz w:val="22"/>
                <w:szCs w:val="22"/>
              </w:rPr>
              <w:t>Key findings were reported in the following manner:</w:t>
            </w:r>
          </w:p>
          <w:p w:rsidR="00605013" w:rsidRDefault="00605013" w:rsidP="00605013">
            <w:pPr>
              <w:pStyle w:val="ListParagraph"/>
              <w:widowControl w:val="0"/>
              <w:autoSpaceDE w:val="0"/>
              <w:autoSpaceDN w:val="0"/>
              <w:adjustRightInd w:val="0"/>
              <w:spacing w:line="276" w:lineRule="auto"/>
              <w:ind w:left="0" w:right="-45"/>
              <w:contextualSpacing w:val="0"/>
              <w:jc w:val="both"/>
              <w:rPr>
                <w:rFonts w:ascii="Book Antiqua" w:hAnsi="Book Antiqua"/>
                <w:sz w:val="22"/>
                <w:szCs w:val="22"/>
              </w:rPr>
            </w:pPr>
          </w:p>
          <w:p w:rsidR="00B36248" w:rsidRPr="00380BCD" w:rsidRDefault="00B36248" w:rsidP="00B36248">
            <w:pPr>
              <w:autoSpaceDE w:val="0"/>
              <w:autoSpaceDN w:val="0"/>
              <w:adjustRightInd w:val="0"/>
              <w:spacing w:line="276" w:lineRule="auto"/>
              <w:jc w:val="both"/>
              <w:rPr>
                <w:rFonts w:ascii="Book Antiqua" w:eastAsia="Calibri" w:hAnsi="Book Antiqua"/>
                <w:sz w:val="22"/>
                <w:szCs w:val="22"/>
              </w:rPr>
            </w:pPr>
            <w:r w:rsidRPr="00380BCD">
              <w:rPr>
                <w:rFonts w:ascii="Book Antiqua" w:eastAsia="Calibri" w:hAnsi="Book Antiqua"/>
                <w:sz w:val="22"/>
                <w:szCs w:val="22"/>
              </w:rPr>
              <w:lastRenderedPageBreak/>
              <w:t xml:space="preserve">I have gone through the facts of case and considered the verbal submissions of the Representative in light of the relevant provisions of the law and state that the Respondents have acknowledged non-compliance of regulation 6 &amp; </w:t>
            </w:r>
            <w:r>
              <w:rPr>
                <w:rFonts w:ascii="Book Antiqua" w:eastAsia="Calibri" w:hAnsi="Book Antiqua"/>
                <w:sz w:val="22"/>
                <w:szCs w:val="22"/>
              </w:rPr>
              <w:t>36</w:t>
            </w:r>
            <w:r w:rsidRPr="00380BCD">
              <w:rPr>
                <w:rFonts w:ascii="Book Antiqua" w:eastAsia="Calibri" w:hAnsi="Book Antiqua"/>
                <w:sz w:val="22"/>
                <w:szCs w:val="22"/>
              </w:rPr>
              <w:t xml:space="preserve"> of the Regulations and, therefore, are liable for penalty under regulation 37 of the Regulations </w:t>
            </w:r>
            <w:r>
              <w:rPr>
                <w:rFonts w:ascii="Book Antiqua" w:eastAsia="Calibri" w:hAnsi="Book Antiqua"/>
                <w:sz w:val="22"/>
                <w:szCs w:val="22"/>
              </w:rPr>
              <w:t xml:space="preserve">read with </w:t>
            </w:r>
            <w:r w:rsidRPr="00380BCD">
              <w:rPr>
                <w:rFonts w:ascii="Book Antiqua" w:eastAsia="Calibri" w:hAnsi="Book Antiqua"/>
                <w:sz w:val="22"/>
                <w:szCs w:val="22"/>
              </w:rPr>
              <w:t>Section 512 of the Act.</w:t>
            </w:r>
          </w:p>
          <w:p w:rsidR="00B36248" w:rsidRPr="004F31AE" w:rsidRDefault="00B36248" w:rsidP="00B36248">
            <w:pPr>
              <w:pStyle w:val="ListParagraph"/>
              <w:widowControl w:val="0"/>
              <w:autoSpaceDE w:val="0"/>
              <w:autoSpaceDN w:val="0"/>
              <w:adjustRightInd w:val="0"/>
              <w:spacing w:line="276" w:lineRule="auto"/>
              <w:ind w:left="0" w:right="-45"/>
              <w:jc w:val="both"/>
              <w:rPr>
                <w:rFonts w:ascii="Book Antiqua" w:eastAsia="Calibri" w:hAnsi="Book Antiqua"/>
                <w:sz w:val="22"/>
                <w:szCs w:val="22"/>
                <w:highlight w:val="yellow"/>
              </w:rPr>
            </w:pPr>
          </w:p>
          <w:p w:rsidR="00B36248" w:rsidRPr="00380BCD" w:rsidRDefault="00B36248" w:rsidP="00B36248">
            <w:pPr>
              <w:pStyle w:val="ListParagraph"/>
              <w:widowControl w:val="0"/>
              <w:autoSpaceDE w:val="0"/>
              <w:autoSpaceDN w:val="0"/>
              <w:adjustRightInd w:val="0"/>
              <w:spacing w:line="276" w:lineRule="auto"/>
              <w:ind w:left="0" w:right="-45"/>
              <w:jc w:val="both"/>
              <w:rPr>
                <w:rFonts w:ascii="Book Antiqua" w:hAnsi="Book Antiqua"/>
                <w:sz w:val="22"/>
                <w:szCs w:val="22"/>
              </w:rPr>
            </w:pPr>
            <w:bookmarkStart w:id="0" w:name="_Hlk109382103"/>
            <w:r w:rsidRPr="00380BCD">
              <w:rPr>
                <w:rFonts w:ascii="Book Antiqua" w:hAnsi="Book Antiqua"/>
                <w:sz w:val="22"/>
                <w:szCs w:val="22"/>
              </w:rPr>
              <w:t>Keeping in view the above,</w:t>
            </w:r>
            <w:r w:rsidRPr="00380BCD">
              <w:rPr>
                <w:rFonts w:ascii="Book Antiqua" w:hAnsi="Book Antiqua"/>
                <w:color w:val="000000" w:themeColor="text1"/>
                <w:sz w:val="22"/>
                <w:szCs w:val="22"/>
              </w:rPr>
              <w:t xml:space="preserve"> I, in exercise of the powers conferred under regulation 37 of the Regulations </w:t>
            </w:r>
            <w:r>
              <w:rPr>
                <w:rFonts w:ascii="Book Antiqua" w:hAnsi="Book Antiqua"/>
                <w:color w:val="000000" w:themeColor="text1"/>
                <w:sz w:val="22"/>
                <w:szCs w:val="22"/>
              </w:rPr>
              <w:t xml:space="preserve">read with </w:t>
            </w:r>
            <w:r w:rsidRPr="00380BCD">
              <w:rPr>
                <w:rFonts w:ascii="Book Antiqua" w:hAnsi="Book Antiqua"/>
                <w:color w:val="000000" w:themeColor="text1"/>
                <w:sz w:val="22"/>
                <w:szCs w:val="22"/>
              </w:rPr>
              <w:t xml:space="preserve">Section 512 of the Act, hereby </w:t>
            </w:r>
            <w:r w:rsidRPr="00380BCD">
              <w:rPr>
                <w:rFonts w:ascii="Book Antiqua" w:eastAsia="Calibri" w:hAnsi="Book Antiqua"/>
                <w:color w:val="000000" w:themeColor="text1"/>
                <w:sz w:val="22"/>
                <w:szCs w:val="22"/>
              </w:rPr>
              <w:t xml:space="preserve">impose penalty of </w:t>
            </w:r>
            <w:r w:rsidRPr="00380BCD">
              <w:rPr>
                <w:rFonts w:ascii="Book Antiqua" w:eastAsia="Calibri" w:hAnsi="Book Antiqua"/>
                <w:b/>
                <w:color w:val="000000" w:themeColor="text1"/>
                <w:sz w:val="22"/>
                <w:szCs w:val="22"/>
              </w:rPr>
              <w:t xml:space="preserve">Rs. </w:t>
            </w:r>
            <w:r>
              <w:rPr>
                <w:rFonts w:ascii="Book Antiqua" w:eastAsia="Calibri" w:hAnsi="Book Antiqua"/>
                <w:b/>
                <w:color w:val="000000" w:themeColor="text1"/>
                <w:sz w:val="22"/>
                <w:szCs w:val="22"/>
                <w:u w:val="single"/>
              </w:rPr>
              <w:t>50,000</w:t>
            </w:r>
            <w:r w:rsidRPr="00380BCD">
              <w:rPr>
                <w:rFonts w:ascii="Book Antiqua" w:eastAsia="Calibri" w:hAnsi="Book Antiqua"/>
                <w:b/>
                <w:color w:val="000000" w:themeColor="text1"/>
                <w:sz w:val="22"/>
                <w:szCs w:val="22"/>
              </w:rPr>
              <w:t>/- (</w:t>
            </w:r>
            <w:r w:rsidRPr="00C603D6">
              <w:rPr>
                <w:rFonts w:ascii="Book Antiqua" w:eastAsia="Calibri" w:hAnsi="Book Antiqua"/>
                <w:b/>
                <w:color w:val="000000" w:themeColor="text1"/>
                <w:sz w:val="22"/>
                <w:szCs w:val="22"/>
                <w:u w:val="single"/>
              </w:rPr>
              <w:t xml:space="preserve">Rupees </w:t>
            </w:r>
            <w:r>
              <w:rPr>
                <w:rFonts w:ascii="Book Antiqua" w:eastAsia="Calibri" w:hAnsi="Book Antiqua"/>
                <w:b/>
                <w:color w:val="000000" w:themeColor="text1"/>
                <w:sz w:val="22"/>
                <w:szCs w:val="22"/>
                <w:u w:val="single"/>
              </w:rPr>
              <w:t>Fifty Thousand</w:t>
            </w:r>
            <w:r w:rsidRPr="00380BCD">
              <w:rPr>
                <w:rFonts w:ascii="Book Antiqua" w:eastAsia="Calibri" w:hAnsi="Book Antiqua"/>
                <w:b/>
                <w:color w:val="000000" w:themeColor="text1"/>
                <w:sz w:val="22"/>
                <w:szCs w:val="22"/>
              </w:rPr>
              <w:t xml:space="preserve"> </w:t>
            </w:r>
            <w:r w:rsidRPr="00C603D6">
              <w:rPr>
                <w:rFonts w:ascii="Book Antiqua" w:eastAsia="Calibri" w:hAnsi="Book Antiqua"/>
                <w:b/>
                <w:color w:val="000000" w:themeColor="text1"/>
                <w:sz w:val="22"/>
                <w:szCs w:val="22"/>
                <w:u w:val="single"/>
              </w:rPr>
              <w:t>only</w:t>
            </w:r>
            <w:r w:rsidRPr="00380BCD">
              <w:rPr>
                <w:rFonts w:ascii="Book Antiqua" w:eastAsia="Calibri" w:hAnsi="Book Antiqua"/>
                <w:color w:val="000000" w:themeColor="text1"/>
                <w:sz w:val="22"/>
                <w:szCs w:val="22"/>
              </w:rPr>
              <w:t xml:space="preserve">) on the </w:t>
            </w:r>
            <w:r>
              <w:rPr>
                <w:rFonts w:ascii="Book Antiqua" w:eastAsia="Calibri" w:hAnsi="Book Antiqua"/>
                <w:color w:val="000000" w:themeColor="text1"/>
                <w:sz w:val="22"/>
                <w:szCs w:val="22"/>
              </w:rPr>
              <w:t xml:space="preserve">Company and </w:t>
            </w:r>
            <w:r>
              <w:rPr>
                <w:rFonts w:ascii="Book Antiqua" w:hAnsi="Book Antiqua"/>
                <w:sz w:val="22"/>
                <w:szCs w:val="22"/>
              </w:rPr>
              <w:t>warn all the remaining Respondents to ensure compliance with the relevant provision of the law in future, in letter and spirit</w:t>
            </w:r>
            <w:bookmarkEnd w:id="0"/>
            <w:r>
              <w:rPr>
                <w:rFonts w:ascii="Book Antiqua" w:hAnsi="Book Antiqua"/>
                <w:color w:val="000000" w:themeColor="text1"/>
                <w:sz w:val="22"/>
                <w:szCs w:val="22"/>
              </w:rPr>
              <w:t>.</w:t>
            </w:r>
          </w:p>
          <w:p w:rsidR="00192BA5" w:rsidRDefault="00192BA5" w:rsidP="005D1DD2">
            <w:pPr>
              <w:pStyle w:val="ListParagraph"/>
              <w:ind w:left="0"/>
              <w:contextualSpacing w:val="0"/>
              <w:jc w:val="both"/>
              <w:rPr>
                <w:rFonts w:ascii="Book Antiqua" w:hAnsi="Book Antiqua" w:cs="Times New Roman"/>
                <w:sz w:val="22"/>
                <w:szCs w:val="22"/>
              </w:rPr>
            </w:pPr>
          </w:p>
          <w:p w:rsidR="00213C34" w:rsidRPr="003E0610" w:rsidRDefault="00465F23" w:rsidP="00465F23">
            <w:pPr>
              <w:spacing w:line="276" w:lineRule="auto"/>
              <w:jc w:val="both"/>
              <w:rPr>
                <w:rFonts w:ascii="Book Antiqua" w:hAnsi="Book Antiqua" w:cs="Times New Roman"/>
                <w:sz w:val="22"/>
                <w:szCs w:val="22"/>
              </w:rPr>
            </w:pPr>
            <w:r w:rsidRPr="00380BCD">
              <w:rPr>
                <w:rFonts w:ascii="Book Antiqua" w:hAnsi="Book Antiqua"/>
                <w:sz w:val="22"/>
                <w:szCs w:val="22"/>
              </w:rPr>
              <w:t>Nothing in this Order may be deemed to prejudice the operation of any provision of the Act providing for imposition of penalties in respect of any defa</w:t>
            </w:r>
            <w:bookmarkStart w:id="1" w:name="_GoBack"/>
            <w:bookmarkEnd w:id="1"/>
            <w:r w:rsidRPr="00380BCD">
              <w:rPr>
                <w:rFonts w:ascii="Book Antiqua" w:hAnsi="Book Antiqua"/>
                <w:sz w:val="22"/>
                <w:szCs w:val="22"/>
              </w:rPr>
              <w:t>ult, omission or violation of the Act.</w:t>
            </w:r>
          </w:p>
        </w:tc>
      </w:tr>
      <w:tr w:rsidR="00FD6E1D" w:rsidRPr="003E0610" w:rsidTr="00991511">
        <w:tc>
          <w:tcPr>
            <w:tcW w:w="2605" w:type="dxa"/>
          </w:tcPr>
          <w:p w:rsidR="00FD6E1D" w:rsidRPr="003E0610" w:rsidRDefault="00FD6E1D" w:rsidP="00FD6E1D">
            <w:pPr>
              <w:pStyle w:val="NoSpacing"/>
              <w:numPr>
                <w:ilvl w:val="0"/>
                <w:numId w:val="1"/>
              </w:numPr>
              <w:ind w:left="340"/>
              <w:rPr>
                <w:rFonts w:ascii="Book Antiqua" w:hAnsi="Book Antiqua" w:cs="Times New Roman"/>
                <w:sz w:val="22"/>
                <w:szCs w:val="22"/>
              </w:rPr>
            </w:pPr>
            <w:r w:rsidRPr="003E0610">
              <w:rPr>
                <w:rFonts w:ascii="Book Antiqua" w:hAnsi="Book Antiqua" w:cs="Times New Roman"/>
                <w:sz w:val="22"/>
                <w:szCs w:val="22"/>
              </w:rPr>
              <w:lastRenderedPageBreak/>
              <w:t>Penalty Imposed</w:t>
            </w:r>
          </w:p>
          <w:p w:rsidR="00FD6E1D" w:rsidRPr="003E0610" w:rsidRDefault="00FD6E1D" w:rsidP="00FD6E1D">
            <w:pPr>
              <w:jc w:val="both"/>
              <w:rPr>
                <w:rFonts w:ascii="Book Antiqua" w:hAnsi="Book Antiqua" w:cs="Times New Roman"/>
                <w:sz w:val="22"/>
                <w:szCs w:val="22"/>
              </w:rPr>
            </w:pPr>
          </w:p>
        </w:tc>
        <w:tc>
          <w:tcPr>
            <w:tcW w:w="6660" w:type="dxa"/>
          </w:tcPr>
          <w:p w:rsidR="00FD6E1D" w:rsidRPr="003E0610" w:rsidRDefault="00B36248" w:rsidP="00F604C5">
            <w:pPr>
              <w:rPr>
                <w:rFonts w:ascii="Book Antiqua" w:hAnsi="Book Antiqua" w:cs="Times New Roman"/>
                <w:sz w:val="22"/>
                <w:szCs w:val="22"/>
              </w:rPr>
            </w:pPr>
            <w:r w:rsidRPr="00380BCD">
              <w:rPr>
                <w:rFonts w:ascii="Book Antiqua" w:eastAsia="Calibri" w:hAnsi="Book Antiqua"/>
                <w:b/>
                <w:color w:val="000000" w:themeColor="text1"/>
                <w:sz w:val="22"/>
                <w:szCs w:val="22"/>
              </w:rPr>
              <w:t xml:space="preserve">Rs. </w:t>
            </w:r>
            <w:r>
              <w:rPr>
                <w:rFonts w:ascii="Book Antiqua" w:eastAsia="Calibri" w:hAnsi="Book Antiqua"/>
                <w:b/>
                <w:color w:val="000000" w:themeColor="text1"/>
                <w:sz w:val="22"/>
                <w:szCs w:val="22"/>
                <w:u w:val="single"/>
              </w:rPr>
              <w:t>50,000</w:t>
            </w:r>
            <w:r w:rsidRPr="00380BCD">
              <w:rPr>
                <w:rFonts w:ascii="Book Antiqua" w:eastAsia="Calibri" w:hAnsi="Book Antiqua"/>
                <w:b/>
                <w:color w:val="000000" w:themeColor="text1"/>
                <w:sz w:val="22"/>
                <w:szCs w:val="22"/>
              </w:rPr>
              <w:t>/- (</w:t>
            </w:r>
            <w:r w:rsidRPr="00C603D6">
              <w:rPr>
                <w:rFonts w:ascii="Book Antiqua" w:eastAsia="Calibri" w:hAnsi="Book Antiqua"/>
                <w:b/>
                <w:color w:val="000000" w:themeColor="text1"/>
                <w:sz w:val="22"/>
                <w:szCs w:val="22"/>
                <w:u w:val="single"/>
              </w:rPr>
              <w:t xml:space="preserve">Rupees </w:t>
            </w:r>
            <w:r>
              <w:rPr>
                <w:rFonts w:ascii="Book Antiqua" w:eastAsia="Calibri" w:hAnsi="Book Antiqua"/>
                <w:b/>
                <w:color w:val="000000" w:themeColor="text1"/>
                <w:sz w:val="22"/>
                <w:szCs w:val="22"/>
                <w:u w:val="single"/>
              </w:rPr>
              <w:t>Fifty Thousand</w:t>
            </w:r>
            <w:r w:rsidRPr="00380BCD">
              <w:rPr>
                <w:rFonts w:ascii="Book Antiqua" w:eastAsia="Calibri" w:hAnsi="Book Antiqua"/>
                <w:b/>
                <w:color w:val="000000" w:themeColor="text1"/>
                <w:sz w:val="22"/>
                <w:szCs w:val="22"/>
              </w:rPr>
              <w:t xml:space="preserve"> </w:t>
            </w:r>
            <w:r w:rsidRPr="00C603D6">
              <w:rPr>
                <w:rFonts w:ascii="Book Antiqua" w:eastAsia="Calibri" w:hAnsi="Book Antiqua"/>
                <w:b/>
                <w:color w:val="000000" w:themeColor="text1"/>
                <w:sz w:val="22"/>
                <w:szCs w:val="22"/>
                <w:u w:val="single"/>
              </w:rPr>
              <w:t>only</w:t>
            </w:r>
            <w:r w:rsidRPr="00380BCD">
              <w:rPr>
                <w:rFonts w:ascii="Book Antiqua" w:eastAsia="Calibri" w:hAnsi="Book Antiqua"/>
                <w:color w:val="000000" w:themeColor="text1"/>
                <w:sz w:val="22"/>
                <w:szCs w:val="22"/>
              </w:rPr>
              <w:t>)</w:t>
            </w:r>
          </w:p>
        </w:tc>
      </w:tr>
      <w:tr w:rsidR="00FD6E1D" w:rsidRPr="003E0610" w:rsidTr="00991511">
        <w:tc>
          <w:tcPr>
            <w:tcW w:w="2605" w:type="dxa"/>
          </w:tcPr>
          <w:p w:rsidR="00FD6E1D" w:rsidRPr="003E0610" w:rsidRDefault="00FD6E1D" w:rsidP="00FD6E1D">
            <w:pPr>
              <w:pStyle w:val="ListParagraph"/>
              <w:numPr>
                <w:ilvl w:val="0"/>
                <w:numId w:val="1"/>
              </w:numPr>
              <w:ind w:left="334"/>
              <w:jc w:val="both"/>
              <w:rPr>
                <w:rFonts w:ascii="Book Antiqua" w:hAnsi="Book Antiqua" w:cs="Times New Roman"/>
                <w:sz w:val="22"/>
                <w:szCs w:val="22"/>
              </w:rPr>
            </w:pPr>
            <w:r w:rsidRPr="003E0610">
              <w:rPr>
                <w:rFonts w:ascii="Book Antiqua" w:hAnsi="Book Antiqua" w:cs="Times New Roman"/>
                <w:sz w:val="22"/>
                <w:szCs w:val="22"/>
              </w:rPr>
              <w:t>Current Status of Order</w:t>
            </w:r>
          </w:p>
        </w:tc>
        <w:tc>
          <w:tcPr>
            <w:tcW w:w="6660" w:type="dxa"/>
          </w:tcPr>
          <w:p w:rsidR="00FD6E1D" w:rsidRPr="003E0610" w:rsidRDefault="006D6A98" w:rsidP="00FD6E1D">
            <w:pPr>
              <w:jc w:val="both"/>
              <w:rPr>
                <w:rFonts w:ascii="Book Antiqua" w:hAnsi="Book Antiqua" w:cs="Times New Roman"/>
                <w:sz w:val="22"/>
                <w:szCs w:val="22"/>
              </w:rPr>
            </w:pPr>
            <w:r w:rsidRPr="003E0610">
              <w:rPr>
                <w:rFonts w:ascii="Book Antiqua" w:hAnsi="Book Antiqua" w:cs="Times New Roman"/>
                <w:sz w:val="22"/>
                <w:szCs w:val="22"/>
              </w:rPr>
              <w:t xml:space="preserve">No </w:t>
            </w:r>
            <w:r w:rsidR="00FD6E1D" w:rsidRPr="003E0610">
              <w:rPr>
                <w:rFonts w:ascii="Book Antiqua" w:hAnsi="Book Antiqua" w:cs="Times New Roman"/>
                <w:sz w:val="22"/>
                <w:szCs w:val="22"/>
              </w:rPr>
              <w:t>Appeal has been filed by the respondents.</w:t>
            </w:r>
          </w:p>
        </w:tc>
      </w:tr>
    </w:tbl>
    <w:p w:rsidR="007F33F3" w:rsidRPr="003E0610" w:rsidRDefault="007F33F3" w:rsidP="007F33F3">
      <w:pPr>
        <w:ind w:firstLine="720"/>
        <w:jc w:val="both"/>
        <w:rPr>
          <w:rFonts w:ascii="Book Antiqua" w:hAnsi="Book Antiqua" w:cs="Times New Roman"/>
          <w:sz w:val="22"/>
          <w:szCs w:val="22"/>
        </w:rPr>
      </w:pPr>
    </w:p>
    <w:p w:rsidR="00C429B2" w:rsidRPr="003E0610" w:rsidRDefault="00C429B2" w:rsidP="007F33F3">
      <w:pPr>
        <w:rPr>
          <w:rFonts w:ascii="Book Antiqua" w:hAnsi="Book Antiqua" w:cs="Times New Roman"/>
          <w:sz w:val="22"/>
          <w:szCs w:val="22"/>
        </w:rPr>
      </w:pPr>
    </w:p>
    <w:sectPr w:rsidR="00C429B2" w:rsidRPr="003E0610" w:rsidSect="007F33F3">
      <w:headerReference w:type="default" r:id="rId7"/>
      <w:footerReference w:type="default" r:id="rId8"/>
      <w:pgSz w:w="11906" w:h="16838"/>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4A5" w:rsidRDefault="000D14A5" w:rsidP="007F33F3">
      <w:r>
        <w:separator/>
      </w:r>
    </w:p>
  </w:endnote>
  <w:endnote w:type="continuationSeparator" w:id="0">
    <w:p w:rsidR="000D14A5" w:rsidRDefault="000D14A5" w:rsidP="007F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p>
  <w:p w:rsidR="007F33F3" w:rsidRP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r w:rsidRPr="007F33F3">
      <w:rPr>
        <w:rFonts w:ascii="Times New Roman" w:eastAsia="SimSun" w:hAnsi="Times New Roman" w:cs="Times New Roman"/>
        <w:iCs/>
        <w:spacing w:val="10"/>
        <w:sz w:val="18"/>
        <w:szCs w:val="18"/>
      </w:rPr>
      <w:t>NIC Building, 63-Jinnah Avenue, Blue Area, Islamabad, Pakistan</w:t>
    </w:r>
  </w:p>
  <w:p w:rsidR="007F33F3" w:rsidRPr="007F33F3" w:rsidRDefault="007F33F3" w:rsidP="007F33F3">
    <w:pPr>
      <w:tabs>
        <w:tab w:val="center" w:pos="4680"/>
        <w:tab w:val="right" w:pos="9360"/>
      </w:tabs>
      <w:jc w:val="center"/>
      <w:rPr>
        <w:rFonts w:ascii="Times New Roman" w:eastAsia="SimSun" w:hAnsi="Times New Roman" w:cs="Times New Roman"/>
        <w:iCs/>
        <w:spacing w:val="10"/>
        <w:sz w:val="18"/>
        <w:szCs w:val="18"/>
        <w:lang w:val="fr-FR"/>
      </w:rPr>
    </w:pPr>
    <w:r w:rsidRPr="007F33F3">
      <w:rPr>
        <w:rFonts w:ascii="Times New Roman" w:hAnsi="Times New Roman" w:cs="Times New Roman"/>
        <w:spacing w:val="10"/>
        <w:sz w:val="18"/>
        <w:szCs w:val="18"/>
      </w:rPr>
      <w:t>Ph: 051-9207091-</w:t>
    </w:r>
    <w:r w:rsidR="00B82FE2" w:rsidRPr="007F33F3">
      <w:rPr>
        <w:rFonts w:ascii="Times New Roman" w:hAnsi="Times New Roman" w:cs="Times New Roman"/>
        <w:spacing w:val="10"/>
        <w:sz w:val="18"/>
        <w:szCs w:val="18"/>
      </w:rPr>
      <w:t>4,</w:t>
    </w:r>
    <w:r w:rsidR="00B82FE2" w:rsidRPr="007F33F3">
      <w:rPr>
        <w:rFonts w:ascii="Times New Roman" w:eastAsia="SimSun" w:hAnsi="Times New Roman" w:cs="Times New Roman"/>
        <w:iCs/>
        <w:spacing w:val="10"/>
        <w:sz w:val="18"/>
        <w:szCs w:val="18"/>
        <w:lang w:val="fr-FR"/>
      </w:rPr>
      <w:t xml:space="preserve"> Fax</w:t>
    </w:r>
    <w:r w:rsidRPr="007F33F3">
      <w:rPr>
        <w:rFonts w:ascii="Times New Roman" w:eastAsia="SimSun" w:hAnsi="Times New Roman" w:cs="Times New Roman"/>
        <w:iCs/>
        <w:spacing w:val="10"/>
        <w:sz w:val="18"/>
        <w:szCs w:val="18"/>
        <w:lang w:val="fr-FR"/>
      </w:rPr>
      <w:t>: 051-9100477</w:t>
    </w:r>
  </w:p>
  <w:p w:rsidR="007F33F3" w:rsidRPr="007F33F3" w:rsidRDefault="007F33F3" w:rsidP="007F33F3">
    <w:pPr>
      <w:tabs>
        <w:tab w:val="right" w:pos="9000"/>
      </w:tabs>
      <w:jc w:val="both"/>
      <w:rPr>
        <w:rFonts w:ascii="Times New Roman" w:hAnsi="Times New Roman" w:cs="Times New Roman"/>
        <w:b/>
        <w:bCs/>
        <w:sz w:val="18"/>
        <w:szCs w:val="18"/>
      </w:rPr>
    </w:pPr>
    <w:r w:rsidRPr="007F33F3">
      <w:rPr>
        <w:rFonts w:ascii="Times New Roman" w:hAnsi="Times New Roman" w:cs="Times New Roman"/>
        <w:b/>
        <w:bCs/>
        <w:sz w:val="18"/>
        <w:szCs w:val="18"/>
      </w:rPr>
      <w:tab/>
      <w:t xml:space="preserve">Page </w:t>
    </w:r>
    <w:r w:rsidRPr="007F33F3">
      <w:rPr>
        <w:rFonts w:ascii="Times New Roman" w:hAnsi="Times New Roman" w:cs="Times New Roman"/>
        <w:b/>
        <w:bCs/>
        <w:sz w:val="18"/>
        <w:szCs w:val="18"/>
      </w:rPr>
      <w:fldChar w:fldCharType="begin"/>
    </w:r>
    <w:r w:rsidRPr="007F33F3">
      <w:rPr>
        <w:rFonts w:ascii="Times New Roman" w:hAnsi="Times New Roman" w:cs="Times New Roman"/>
        <w:b/>
        <w:bCs/>
        <w:sz w:val="18"/>
        <w:szCs w:val="18"/>
      </w:rPr>
      <w:instrText xml:space="preserve"> PAGE  \* Arabic  \* MERGEFORMAT </w:instrText>
    </w:r>
    <w:r w:rsidRPr="007F33F3">
      <w:rPr>
        <w:rFonts w:ascii="Times New Roman" w:hAnsi="Times New Roman" w:cs="Times New Roman"/>
        <w:b/>
        <w:bCs/>
        <w:sz w:val="18"/>
        <w:szCs w:val="18"/>
      </w:rPr>
      <w:fldChar w:fldCharType="separate"/>
    </w:r>
    <w:r w:rsidR="002A5E46">
      <w:rPr>
        <w:rFonts w:ascii="Times New Roman" w:hAnsi="Times New Roman" w:cs="Times New Roman"/>
        <w:b/>
        <w:bCs/>
        <w:noProof/>
        <w:sz w:val="18"/>
        <w:szCs w:val="18"/>
      </w:rPr>
      <w:t>4</w:t>
    </w:r>
    <w:r w:rsidRPr="007F33F3">
      <w:rPr>
        <w:rFonts w:ascii="Times New Roman" w:hAnsi="Times New Roman" w:cs="Times New Roman"/>
        <w:b/>
        <w:bCs/>
        <w:sz w:val="18"/>
        <w:szCs w:val="18"/>
      </w:rPr>
      <w:fldChar w:fldCharType="end"/>
    </w:r>
    <w:r w:rsidRPr="007F33F3">
      <w:rPr>
        <w:rFonts w:ascii="Times New Roman" w:hAnsi="Times New Roman" w:cs="Times New Roman"/>
        <w:b/>
        <w:bCs/>
        <w:sz w:val="18"/>
        <w:szCs w:val="18"/>
      </w:rPr>
      <w:t xml:space="preserve"> of </w:t>
    </w:r>
    <w:r w:rsidR="00B63388">
      <w:rPr>
        <w:rFonts w:ascii="Times New Roman" w:hAnsi="Times New Roman" w:cs="Times New Roman"/>
        <w:b/>
        <w:bCs/>
        <w:sz w:val="18"/>
        <w:szCs w:val="18"/>
      </w:rPr>
      <w:t>3</w:t>
    </w:r>
  </w:p>
  <w:p w:rsidR="007F33F3" w:rsidRDefault="007F3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4A5" w:rsidRDefault="000D14A5" w:rsidP="007F33F3">
      <w:r>
        <w:separator/>
      </w:r>
    </w:p>
  </w:footnote>
  <w:footnote w:type="continuationSeparator" w:id="0">
    <w:p w:rsidR="000D14A5" w:rsidRDefault="000D14A5" w:rsidP="007F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ind w:left="720"/>
      <w:jc w:val="center"/>
      <w:rPr>
        <w:rFonts w:asciiTheme="majorBidi" w:hAnsiTheme="majorBidi" w:cstheme="majorBidi"/>
        <w:b/>
        <w:color w:val="116C65"/>
        <w:sz w:val="34"/>
        <w:szCs w:val="34"/>
      </w:rPr>
    </w:pPr>
    <w:r>
      <w:rPr>
        <w:noProof/>
      </w:rPr>
      <w:drawing>
        <wp:anchor distT="0" distB="0" distL="114300" distR="114300" simplePos="0" relativeHeight="251659264" behindDoc="1" locked="0" layoutInCell="1" allowOverlap="1" wp14:anchorId="14293031" wp14:editId="0B2A8CAA">
          <wp:simplePos x="0" y="0"/>
          <wp:positionH relativeFrom="margin">
            <wp:align>left</wp:align>
          </wp:positionH>
          <wp:positionV relativeFrom="paragraph">
            <wp:posOffset>-268605</wp:posOffset>
          </wp:positionV>
          <wp:extent cx="735330" cy="799465"/>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7F33F3" w:rsidRDefault="007F33F3" w:rsidP="007F33F3">
    <w:pPr>
      <w:pStyle w:val="Header"/>
    </w:pPr>
  </w:p>
  <w:p w:rsidR="007F33F3" w:rsidRDefault="007F3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31221"/>
    <w:multiLevelType w:val="hybridMultilevel"/>
    <w:tmpl w:val="7CAC4B1A"/>
    <w:lvl w:ilvl="0" w:tplc="2F9C00FA">
      <w:start w:val="8"/>
      <w:numFmt w:val="lowerRoman"/>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 w15:restartNumberingAfterBreak="0">
    <w:nsid w:val="18ED5F01"/>
    <w:multiLevelType w:val="hybridMultilevel"/>
    <w:tmpl w:val="DFF08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7805B9"/>
    <w:multiLevelType w:val="hybridMultilevel"/>
    <w:tmpl w:val="8E56E26A"/>
    <w:lvl w:ilvl="0" w:tplc="715403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C10861"/>
    <w:multiLevelType w:val="hybridMultilevel"/>
    <w:tmpl w:val="36C6AD58"/>
    <w:lvl w:ilvl="0" w:tplc="B3ECDAFE">
      <w:start w:val="2"/>
      <w:numFmt w:val="decimal"/>
      <w:lvlText w:val="%1."/>
      <w:lvlJc w:val="left"/>
      <w:pPr>
        <w:ind w:left="720" w:hanging="360"/>
      </w:pPr>
      <w:rPr>
        <w:rFonts w:hint="default"/>
        <w:i w:val="0"/>
        <w:iCs/>
        <w:sz w:val="2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34C5E"/>
    <w:multiLevelType w:val="hybridMultilevel"/>
    <w:tmpl w:val="434ACA0A"/>
    <w:lvl w:ilvl="0" w:tplc="0809000F">
      <w:start w:val="4"/>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0F6194A"/>
    <w:multiLevelType w:val="hybridMultilevel"/>
    <w:tmpl w:val="FA16D876"/>
    <w:lvl w:ilvl="0" w:tplc="57BC5770">
      <w:start w:val="2"/>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35D15C0C"/>
    <w:multiLevelType w:val="hybridMultilevel"/>
    <w:tmpl w:val="113EE3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F124A"/>
    <w:multiLevelType w:val="hybridMultilevel"/>
    <w:tmpl w:val="DBE44420"/>
    <w:lvl w:ilvl="0" w:tplc="D020D8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DC7FA1"/>
    <w:multiLevelType w:val="hybridMultilevel"/>
    <w:tmpl w:val="D9900BC4"/>
    <w:lvl w:ilvl="0" w:tplc="2DE2BF3C">
      <w:start w:val="1"/>
      <w:numFmt w:val="lowerRoman"/>
      <w:lvlText w:val="(%1)"/>
      <w:lvlJc w:val="left"/>
      <w:pPr>
        <w:ind w:left="1440" w:hanging="72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10" w15:restartNumberingAfterBreak="0">
    <w:nsid w:val="3CE56AFB"/>
    <w:multiLevelType w:val="hybridMultilevel"/>
    <w:tmpl w:val="CCD237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50307"/>
    <w:multiLevelType w:val="hybridMultilevel"/>
    <w:tmpl w:val="B510CBC0"/>
    <w:lvl w:ilvl="0" w:tplc="271239B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64B0F1E"/>
    <w:multiLevelType w:val="hybridMultilevel"/>
    <w:tmpl w:val="36362B0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9C749D5"/>
    <w:multiLevelType w:val="hybridMultilevel"/>
    <w:tmpl w:val="9ED2561A"/>
    <w:lvl w:ilvl="0" w:tplc="2F9C00FA">
      <w:start w:val="7"/>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B5D2481"/>
    <w:multiLevelType w:val="hybridMultilevel"/>
    <w:tmpl w:val="5DFE3B98"/>
    <w:lvl w:ilvl="0" w:tplc="E326C3AA">
      <w:start w:val="1"/>
      <w:numFmt w:val="lowerRoman"/>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6" w15:restartNumberingAfterBreak="0">
    <w:nsid w:val="799478C2"/>
    <w:multiLevelType w:val="hybridMultilevel"/>
    <w:tmpl w:val="7388BA34"/>
    <w:lvl w:ilvl="0" w:tplc="3A842E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FFA7D94"/>
    <w:multiLevelType w:val="hybridMultilevel"/>
    <w:tmpl w:val="BACE0EDA"/>
    <w:lvl w:ilvl="0" w:tplc="3A6CCEB8">
      <w:start w:val="2"/>
      <w:numFmt w:val="decimal"/>
      <w:lvlText w:val="%1."/>
      <w:lvlJc w:val="left"/>
      <w:pPr>
        <w:ind w:left="502" w:hanging="360"/>
      </w:pPr>
      <w:rPr>
        <w:rFonts w:hint="default"/>
        <w:i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3"/>
  </w:num>
  <w:num w:numId="5">
    <w:abstractNumId w:val="1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4"/>
  </w:num>
  <w:num w:numId="12">
    <w:abstractNumId w:val="0"/>
  </w:num>
  <w:num w:numId="13">
    <w:abstractNumId w:val="15"/>
  </w:num>
  <w:num w:numId="14">
    <w:abstractNumId w:val="5"/>
  </w:num>
  <w:num w:numId="15">
    <w:abstractNumId w:val="13"/>
  </w:num>
  <w:num w:numId="16">
    <w:abstractNumId w:val="6"/>
  </w:num>
  <w:num w:numId="17">
    <w:abstractNumId w:val="17"/>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F3"/>
    <w:rsid w:val="00026638"/>
    <w:rsid w:val="00026F92"/>
    <w:rsid w:val="0005394E"/>
    <w:rsid w:val="000B0DAF"/>
    <w:rsid w:val="000C1646"/>
    <w:rsid w:val="000D14A5"/>
    <w:rsid w:val="000E0E3A"/>
    <w:rsid w:val="000E36EA"/>
    <w:rsid w:val="001127B2"/>
    <w:rsid w:val="00130711"/>
    <w:rsid w:val="00140BDC"/>
    <w:rsid w:val="001459DF"/>
    <w:rsid w:val="00147622"/>
    <w:rsid w:val="00161A12"/>
    <w:rsid w:val="00161ABE"/>
    <w:rsid w:val="00162ACC"/>
    <w:rsid w:val="00177B50"/>
    <w:rsid w:val="00192BA5"/>
    <w:rsid w:val="001D1377"/>
    <w:rsid w:val="001E131E"/>
    <w:rsid w:val="001E1A18"/>
    <w:rsid w:val="002002B7"/>
    <w:rsid w:val="00202F2E"/>
    <w:rsid w:val="00213C34"/>
    <w:rsid w:val="00232B68"/>
    <w:rsid w:val="00253F20"/>
    <w:rsid w:val="00257956"/>
    <w:rsid w:val="002A5E46"/>
    <w:rsid w:val="002B3969"/>
    <w:rsid w:val="002C1608"/>
    <w:rsid w:val="002D7496"/>
    <w:rsid w:val="00314601"/>
    <w:rsid w:val="0032666A"/>
    <w:rsid w:val="00330790"/>
    <w:rsid w:val="0038799E"/>
    <w:rsid w:val="003A0195"/>
    <w:rsid w:val="003A76E4"/>
    <w:rsid w:val="003C01AF"/>
    <w:rsid w:val="003E0610"/>
    <w:rsid w:val="00406E53"/>
    <w:rsid w:val="00453B91"/>
    <w:rsid w:val="00465F23"/>
    <w:rsid w:val="004A4F88"/>
    <w:rsid w:val="004B5911"/>
    <w:rsid w:val="004C3976"/>
    <w:rsid w:val="00520FB0"/>
    <w:rsid w:val="00541FC8"/>
    <w:rsid w:val="005448BC"/>
    <w:rsid w:val="00573416"/>
    <w:rsid w:val="005D1626"/>
    <w:rsid w:val="005D1DD2"/>
    <w:rsid w:val="005D5A6A"/>
    <w:rsid w:val="005F1525"/>
    <w:rsid w:val="00605013"/>
    <w:rsid w:val="00613502"/>
    <w:rsid w:val="0066173F"/>
    <w:rsid w:val="00661896"/>
    <w:rsid w:val="006747FF"/>
    <w:rsid w:val="00676C58"/>
    <w:rsid w:val="006D6A98"/>
    <w:rsid w:val="006F24E1"/>
    <w:rsid w:val="006F33BE"/>
    <w:rsid w:val="00717CFF"/>
    <w:rsid w:val="00757157"/>
    <w:rsid w:val="00771E8D"/>
    <w:rsid w:val="007A5A94"/>
    <w:rsid w:val="007F33F3"/>
    <w:rsid w:val="007F53DA"/>
    <w:rsid w:val="00834E94"/>
    <w:rsid w:val="00841378"/>
    <w:rsid w:val="00850AE8"/>
    <w:rsid w:val="00880D90"/>
    <w:rsid w:val="0088646B"/>
    <w:rsid w:val="008907DD"/>
    <w:rsid w:val="00893D8C"/>
    <w:rsid w:val="008B20DE"/>
    <w:rsid w:val="008B3B13"/>
    <w:rsid w:val="008C3A32"/>
    <w:rsid w:val="008D6B6C"/>
    <w:rsid w:val="0090286D"/>
    <w:rsid w:val="009043D6"/>
    <w:rsid w:val="00920772"/>
    <w:rsid w:val="009315F4"/>
    <w:rsid w:val="0093606F"/>
    <w:rsid w:val="00963191"/>
    <w:rsid w:val="0098591D"/>
    <w:rsid w:val="009866C5"/>
    <w:rsid w:val="009A21F3"/>
    <w:rsid w:val="009E22B6"/>
    <w:rsid w:val="009E2B15"/>
    <w:rsid w:val="009F285D"/>
    <w:rsid w:val="009F7602"/>
    <w:rsid w:val="00A31B95"/>
    <w:rsid w:val="00A5456F"/>
    <w:rsid w:val="00A60E42"/>
    <w:rsid w:val="00AA2072"/>
    <w:rsid w:val="00AB16A5"/>
    <w:rsid w:val="00AE5064"/>
    <w:rsid w:val="00B324FA"/>
    <w:rsid w:val="00B36248"/>
    <w:rsid w:val="00B50B09"/>
    <w:rsid w:val="00B510EB"/>
    <w:rsid w:val="00B63388"/>
    <w:rsid w:val="00B82FE2"/>
    <w:rsid w:val="00BB2C3E"/>
    <w:rsid w:val="00C001ED"/>
    <w:rsid w:val="00C07E00"/>
    <w:rsid w:val="00C25671"/>
    <w:rsid w:val="00C26D62"/>
    <w:rsid w:val="00C429B2"/>
    <w:rsid w:val="00C47181"/>
    <w:rsid w:val="00C9220B"/>
    <w:rsid w:val="00CC4639"/>
    <w:rsid w:val="00CD6207"/>
    <w:rsid w:val="00CF33A9"/>
    <w:rsid w:val="00CF45DE"/>
    <w:rsid w:val="00D134AA"/>
    <w:rsid w:val="00D247C7"/>
    <w:rsid w:val="00D25CA1"/>
    <w:rsid w:val="00D5538B"/>
    <w:rsid w:val="00D57CBB"/>
    <w:rsid w:val="00D63A7C"/>
    <w:rsid w:val="00D831E7"/>
    <w:rsid w:val="00DD56E1"/>
    <w:rsid w:val="00E334C5"/>
    <w:rsid w:val="00E9534D"/>
    <w:rsid w:val="00EA577D"/>
    <w:rsid w:val="00ED6926"/>
    <w:rsid w:val="00F421CF"/>
    <w:rsid w:val="00F604C5"/>
    <w:rsid w:val="00F6183A"/>
    <w:rsid w:val="00F73569"/>
    <w:rsid w:val="00F74156"/>
    <w:rsid w:val="00FB09A9"/>
    <w:rsid w:val="00FC436C"/>
    <w:rsid w:val="00FD6E1D"/>
    <w:rsid w:val="00FE3A85"/>
    <w:rsid w:val="00FE6A81"/>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f,#b9edfd,#d6f4fe"/>
    </o:shapedefaults>
    <o:shapelayout v:ext="edit">
      <o:idmap v:ext="edit" data="1"/>
    </o:shapelayout>
  </w:shapeDefaults>
  <w:decimalSymbol w:val="."/>
  <w:listSeparator w:val=","/>
  <w14:docId w14:val="6FCB93AB"/>
  <w15:chartTrackingRefBased/>
  <w15:docId w15:val="{37D54AA8-0148-4F83-86F8-B7F5B5D4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3F3"/>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3F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F33F3"/>
    <w:pPr>
      <w:ind w:left="720"/>
      <w:contextualSpacing/>
    </w:pPr>
  </w:style>
  <w:style w:type="paragraph" w:customStyle="1" w:styleId="Default">
    <w:name w:val="Default"/>
    <w:rsid w:val="007F33F3"/>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link w:val="NoSpacingChar"/>
    <w:uiPriority w:val="1"/>
    <w:qFormat/>
    <w:rsid w:val="007F33F3"/>
    <w:pPr>
      <w:spacing w:after="0" w:line="240" w:lineRule="auto"/>
    </w:pPr>
    <w:rPr>
      <w:rFonts w:ascii="Arial" w:eastAsia="Times New Roman" w:hAnsi="Arial" w:cs="Arial"/>
      <w:sz w:val="24"/>
      <w:szCs w:val="24"/>
      <w:lang w:val="en-US"/>
    </w:rPr>
  </w:style>
  <w:style w:type="paragraph" w:styleId="BodyText">
    <w:name w:val="Body Text"/>
    <w:basedOn w:val="Normal"/>
    <w:link w:val="BodyTextChar"/>
    <w:uiPriority w:val="99"/>
    <w:unhideWhenUsed/>
    <w:rsid w:val="007F33F3"/>
    <w:pPr>
      <w:spacing w:after="120"/>
    </w:pPr>
  </w:style>
  <w:style w:type="character" w:customStyle="1" w:styleId="BodyTextChar">
    <w:name w:val="Body Text Char"/>
    <w:basedOn w:val="DefaultParagraphFont"/>
    <w:link w:val="BodyText"/>
    <w:uiPriority w:val="99"/>
    <w:rsid w:val="007F33F3"/>
    <w:rPr>
      <w:rFonts w:ascii="Arial" w:eastAsia="Times New Roman" w:hAnsi="Arial" w:cs="Arial"/>
      <w:sz w:val="24"/>
      <w:szCs w:val="24"/>
      <w:lang w:val="en-US"/>
    </w:rPr>
  </w:style>
  <w:style w:type="character" w:customStyle="1" w:styleId="ListParagraphChar">
    <w:name w:val="List Paragraph Char"/>
    <w:basedOn w:val="DefaultParagraphFont"/>
    <w:link w:val="ListParagraph"/>
    <w:uiPriority w:val="34"/>
    <w:locked/>
    <w:rsid w:val="007F33F3"/>
    <w:rPr>
      <w:rFonts w:ascii="Arial" w:eastAsia="Times New Roman" w:hAnsi="Arial" w:cs="Arial"/>
      <w:sz w:val="24"/>
      <w:szCs w:val="24"/>
      <w:lang w:val="en-US"/>
    </w:rPr>
  </w:style>
  <w:style w:type="paragraph" w:styleId="NormalWeb">
    <w:name w:val="Normal (Web)"/>
    <w:basedOn w:val="Normal"/>
    <w:unhideWhenUsed/>
    <w:rsid w:val="007F33F3"/>
    <w:rPr>
      <w:rFonts w:ascii="Times New Roman" w:hAnsi="Times New Roman" w:cs="Times New Roman"/>
    </w:rPr>
  </w:style>
  <w:style w:type="character" w:customStyle="1" w:styleId="Bodytext2">
    <w:name w:val="Body text|2_"/>
    <w:basedOn w:val="DefaultParagraphFont"/>
    <w:link w:val="Bodytext20"/>
    <w:rsid w:val="007F33F3"/>
    <w:rPr>
      <w:rFonts w:ascii="Arial" w:eastAsia="Arial" w:hAnsi="Arial" w:cs="Arial"/>
      <w:sz w:val="19"/>
      <w:szCs w:val="19"/>
      <w:shd w:val="clear" w:color="auto" w:fill="FFFFFF"/>
    </w:rPr>
  </w:style>
  <w:style w:type="paragraph" w:customStyle="1" w:styleId="Bodytext20">
    <w:name w:val="Body text|2"/>
    <w:basedOn w:val="Normal"/>
    <w:link w:val="Bodytext2"/>
    <w:rsid w:val="007F33F3"/>
    <w:pPr>
      <w:widowControl w:val="0"/>
      <w:shd w:val="clear" w:color="auto" w:fill="FFFFFF"/>
      <w:spacing w:before="280" w:after="280" w:line="269" w:lineRule="exact"/>
      <w:jc w:val="both"/>
    </w:pPr>
    <w:rPr>
      <w:rFonts w:eastAsia="Arial"/>
      <w:sz w:val="19"/>
      <w:szCs w:val="19"/>
    </w:rPr>
  </w:style>
  <w:style w:type="paragraph" w:styleId="Header">
    <w:name w:val="header"/>
    <w:basedOn w:val="Normal"/>
    <w:link w:val="HeaderChar"/>
    <w:unhideWhenUsed/>
    <w:rsid w:val="007F33F3"/>
    <w:pPr>
      <w:tabs>
        <w:tab w:val="center" w:pos="4513"/>
        <w:tab w:val="right" w:pos="9026"/>
      </w:tabs>
    </w:pPr>
  </w:style>
  <w:style w:type="character" w:customStyle="1" w:styleId="HeaderChar">
    <w:name w:val="Header Char"/>
    <w:basedOn w:val="DefaultParagraphFont"/>
    <w:link w:val="Header"/>
    <w:rsid w:val="007F33F3"/>
    <w:rPr>
      <w:rFonts w:ascii="Arial" w:eastAsia="Times New Roman" w:hAnsi="Arial" w:cs="Arial"/>
      <w:sz w:val="24"/>
      <w:szCs w:val="24"/>
      <w:lang w:val="en-US"/>
    </w:rPr>
  </w:style>
  <w:style w:type="paragraph" w:styleId="Footer">
    <w:name w:val="footer"/>
    <w:basedOn w:val="Normal"/>
    <w:link w:val="FooterChar"/>
    <w:uiPriority w:val="99"/>
    <w:unhideWhenUsed/>
    <w:rsid w:val="007F33F3"/>
    <w:pPr>
      <w:tabs>
        <w:tab w:val="center" w:pos="4513"/>
        <w:tab w:val="right" w:pos="9026"/>
      </w:tabs>
    </w:pPr>
  </w:style>
  <w:style w:type="character" w:customStyle="1" w:styleId="FooterChar">
    <w:name w:val="Footer Char"/>
    <w:basedOn w:val="DefaultParagraphFont"/>
    <w:link w:val="Footer"/>
    <w:uiPriority w:val="99"/>
    <w:rsid w:val="007F33F3"/>
    <w:rPr>
      <w:rFonts w:ascii="Arial" w:eastAsia="Times New Roman" w:hAnsi="Arial" w:cs="Arial"/>
      <w:sz w:val="24"/>
      <w:szCs w:val="24"/>
      <w:lang w:val="en-US"/>
    </w:rPr>
  </w:style>
  <w:style w:type="paragraph" w:styleId="BodyText21">
    <w:name w:val="Body Text 2"/>
    <w:basedOn w:val="Normal"/>
    <w:link w:val="BodyText2Char"/>
    <w:uiPriority w:val="99"/>
    <w:semiHidden/>
    <w:unhideWhenUsed/>
    <w:rsid w:val="00FC436C"/>
    <w:pPr>
      <w:spacing w:after="120" w:line="480" w:lineRule="auto"/>
    </w:pPr>
  </w:style>
  <w:style w:type="character" w:customStyle="1" w:styleId="BodyText2Char">
    <w:name w:val="Body Text 2 Char"/>
    <w:basedOn w:val="DefaultParagraphFont"/>
    <w:link w:val="BodyText21"/>
    <w:uiPriority w:val="99"/>
    <w:semiHidden/>
    <w:rsid w:val="00FC436C"/>
    <w:rPr>
      <w:rFonts w:ascii="Arial" w:eastAsia="Times New Roman" w:hAnsi="Arial" w:cs="Arial"/>
      <w:sz w:val="24"/>
      <w:szCs w:val="24"/>
      <w:lang w:val="en-US"/>
    </w:rPr>
  </w:style>
  <w:style w:type="paragraph" w:customStyle="1" w:styleId="Style1">
    <w:name w:val="Style 1"/>
    <w:basedOn w:val="Normal"/>
    <w:uiPriority w:val="99"/>
    <w:rsid w:val="0038799E"/>
    <w:pPr>
      <w:widowControl w:val="0"/>
      <w:autoSpaceDE w:val="0"/>
      <w:autoSpaceDN w:val="0"/>
      <w:adjustRightInd w:val="0"/>
    </w:pPr>
    <w:rPr>
      <w:rFonts w:ascii="Times New Roman" w:hAnsi="Times New Roman" w:cs="Times New Roman"/>
      <w:sz w:val="20"/>
      <w:szCs w:val="20"/>
    </w:rPr>
  </w:style>
  <w:style w:type="character" w:customStyle="1" w:styleId="NoSpacingChar">
    <w:name w:val="No Spacing Char"/>
    <w:link w:val="NoSpacing"/>
    <w:uiPriority w:val="1"/>
    <w:locked/>
    <w:rsid w:val="0038799E"/>
    <w:rPr>
      <w:rFonts w:ascii="Arial" w:eastAsia="Times New Roman" w:hAnsi="Arial" w:cs="Arial"/>
      <w:sz w:val="24"/>
      <w:szCs w:val="24"/>
      <w:lang w:val="en-US"/>
    </w:rPr>
  </w:style>
  <w:style w:type="table" w:customStyle="1" w:styleId="TableGrid1">
    <w:name w:val="Table Grid1"/>
    <w:basedOn w:val="TableNormal"/>
    <w:next w:val="TableGrid"/>
    <w:uiPriority w:val="59"/>
    <w:rsid w:val="00C001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6A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Shahana Bano</dc:creator>
  <cp:keywords/>
  <dc:description/>
  <cp:lastModifiedBy>Rizwan-ul-Haq</cp:lastModifiedBy>
  <cp:revision>2</cp:revision>
  <dcterms:created xsi:type="dcterms:W3CDTF">2022-10-17T11:50:00Z</dcterms:created>
  <dcterms:modified xsi:type="dcterms:W3CDTF">2022-10-17T11:50:00Z</dcterms:modified>
</cp:coreProperties>
</file>