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7D5BC8" w:rsidP="007D5BC8">
      <w:pPr>
        <w:jc w:val="center"/>
        <w:rPr>
          <w:rFonts w:ascii="Book Antiqua" w:eastAsia="Arial Unicode MS" w:hAnsi="Book Antiqua"/>
          <w:b/>
          <w:bCs/>
          <w:color w:val="000000"/>
          <w:sz w:val="22"/>
          <w:szCs w:val="22"/>
        </w:rPr>
      </w:pPr>
      <w:r w:rsidRPr="00865047">
        <w:rPr>
          <w:rFonts w:ascii="Book Antiqua" w:eastAsia="Arial Unicode MS" w:hAnsi="Book Antiqua"/>
          <w:b/>
          <w:bCs/>
          <w:color w:val="000000"/>
          <w:sz w:val="22"/>
          <w:szCs w:val="22"/>
        </w:rPr>
        <w:t>Amir M. Khan Afridi – Director/ Head of Department</w:t>
      </w:r>
    </w:p>
    <w:p w:rsidR="007D5BC8" w:rsidRPr="003E0610" w:rsidRDefault="007D5BC8" w:rsidP="007D5BC8">
      <w:pPr>
        <w:jc w:val="center"/>
        <w:rPr>
          <w:rFonts w:ascii="Book Antiqua" w:hAnsi="Book Antiqua" w:cs="Times New Roman"/>
          <w:b/>
          <w:bCs/>
          <w:sz w:val="22"/>
          <w:szCs w:val="22"/>
          <w:u w:val="single"/>
        </w:rPr>
      </w:pPr>
    </w:p>
    <w:p w:rsidR="004D4F11" w:rsidRPr="00D97029" w:rsidRDefault="007F33F3" w:rsidP="004D4F11">
      <w:pPr>
        <w:pStyle w:val="NormalWeb"/>
        <w:spacing w:line="276" w:lineRule="auto"/>
        <w:jc w:val="center"/>
        <w:rPr>
          <w:rFonts w:ascii="Book Antiqua" w:hAnsi="Book Antiqua"/>
          <w:b/>
          <w:bCs/>
          <w:sz w:val="22"/>
          <w:szCs w:val="22"/>
          <w:u w:val="single"/>
        </w:rPr>
      </w:pPr>
      <w:r w:rsidRPr="003E0610">
        <w:rPr>
          <w:rFonts w:ascii="Book Antiqua" w:hAnsi="Book Antiqua"/>
          <w:b/>
          <w:bCs/>
          <w:sz w:val="22"/>
          <w:szCs w:val="22"/>
          <w:u w:val="single"/>
        </w:rPr>
        <w:t>In the matter of</w:t>
      </w:r>
      <w:r w:rsidR="0088646B" w:rsidRPr="003E0610">
        <w:rPr>
          <w:rFonts w:ascii="Book Antiqua" w:hAnsi="Book Antiqua"/>
          <w:b/>
          <w:bCs/>
          <w:sz w:val="22"/>
          <w:szCs w:val="22"/>
          <w:u w:val="single"/>
        </w:rPr>
        <w:t xml:space="preserve"> Show Cause Notice issued to</w:t>
      </w:r>
      <w:r w:rsidR="00F6183A" w:rsidRPr="003E0610">
        <w:rPr>
          <w:rFonts w:ascii="Book Antiqua" w:hAnsi="Book Antiqua"/>
          <w:b/>
          <w:bCs/>
          <w:sz w:val="22"/>
          <w:szCs w:val="22"/>
          <w:u w:val="single"/>
        </w:rPr>
        <w:t xml:space="preserve"> </w:t>
      </w:r>
      <w:r w:rsidR="004D4F11" w:rsidRPr="00D97029">
        <w:rPr>
          <w:rFonts w:ascii="Book Antiqua" w:hAnsi="Book Antiqua"/>
          <w:b/>
          <w:bCs/>
          <w:sz w:val="22"/>
          <w:szCs w:val="22"/>
          <w:u w:val="single"/>
        </w:rPr>
        <w:t>Pakistan Petroleum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4D4F11" w:rsidRPr="00BA01EB" w:rsidRDefault="004D4F11" w:rsidP="004D4F11">
            <w:pPr>
              <w:pStyle w:val="NormalWeb"/>
              <w:jc w:val="both"/>
              <w:rPr>
                <w:rFonts w:ascii="Book Antiqua" w:hAnsi="Book Antiqua"/>
                <w:sz w:val="22"/>
                <w:szCs w:val="22"/>
              </w:rPr>
            </w:pPr>
            <w:r w:rsidRPr="00BA01EB">
              <w:rPr>
                <w:rFonts w:ascii="Book Antiqua" w:hAnsi="Book Antiqua"/>
                <w:sz w:val="22"/>
                <w:szCs w:val="22"/>
              </w:rPr>
              <w:t>December 13, 2018; December 23, 2020; December 29, 2020; September 15, 2021; November 02, 2021; and December 02, 2021.</w:t>
            </w:r>
          </w:p>
          <w:p w:rsidR="00FE6A81" w:rsidRPr="003E0610" w:rsidRDefault="00FE6A81" w:rsidP="004D4F11">
            <w:pPr>
              <w:rPr>
                <w:rFonts w:ascii="Book Antiqua" w:hAnsi="Book Antiqua"/>
                <w:sz w:val="22"/>
                <w:szCs w:val="22"/>
              </w:rPr>
            </w:pP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7D5BC8">
        <w:rPr>
          <w:rFonts w:ascii="Book Antiqua" w:hAnsi="Book Antiqua" w:cs="Times New Roman"/>
          <w:sz w:val="22"/>
          <w:szCs w:val="22"/>
        </w:rPr>
        <w:t>July</w:t>
      </w:r>
      <w:r w:rsidR="00192BA5">
        <w:rPr>
          <w:rFonts w:ascii="Book Antiqua" w:hAnsi="Book Antiqua" w:cs="Times New Roman"/>
          <w:sz w:val="22"/>
          <w:szCs w:val="22"/>
        </w:rPr>
        <w:t xml:space="preserve"> 2</w:t>
      </w:r>
      <w:r w:rsidR="004D4F11">
        <w:rPr>
          <w:rFonts w:ascii="Book Antiqua" w:hAnsi="Book Antiqua" w:cs="Times New Roman"/>
          <w:sz w:val="22"/>
          <w:szCs w:val="22"/>
        </w:rPr>
        <w:t>9</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4D4F11" w:rsidRPr="00BA01EB">
        <w:rPr>
          <w:rFonts w:ascii="Book Antiqua" w:hAnsi="Book Antiqua"/>
          <w:sz w:val="22"/>
          <w:szCs w:val="22"/>
        </w:rPr>
        <w:t>Pakistan Petroleum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4D4F11">
            <w:pPr>
              <w:pStyle w:val="NormalWeb"/>
              <w:spacing w:line="276" w:lineRule="auto"/>
              <w:jc w:val="both"/>
              <w:rPr>
                <w:rFonts w:ascii="Book Antiqua" w:hAnsi="Book Antiqua"/>
                <w:sz w:val="22"/>
                <w:szCs w:val="22"/>
              </w:rPr>
            </w:pPr>
            <w:r w:rsidRPr="003E0610">
              <w:rPr>
                <w:rFonts w:ascii="Book Antiqua" w:hAnsi="Book Antiqua"/>
                <w:sz w:val="22"/>
                <w:szCs w:val="22"/>
              </w:rPr>
              <w:t xml:space="preserve">Show cause notice dated </w:t>
            </w:r>
            <w:r w:rsidR="004D4F11" w:rsidRPr="00BA01EB">
              <w:rPr>
                <w:rFonts w:ascii="Book Antiqua" w:hAnsi="Book Antiqua"/>
                <w:sz w:val="22"/>
                <w:szCs w:val="22"/>
              </w:rPr>
              <w:t>October 30, 2018</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4D4F11" w:rsidP="00991511">
            <w:pPr>
              <w:jc w:val="both"/>
              <w:rPr>
                <w:rFonts w:ascii="Book Antiqua" w:hAnsi="Book Antiqua" w:cs="Times New Roman"/>
                <w:sz w:val="22"/>
                <w:szCs w:val="22"/>
              </w:rPr>
            </w:pPr>
            <w:r w:rsidRPr="00BA01EB">
              <w:rPr>
                <w:rFonts w:ascii="Book Antiqua" w:hAnsi="Book Antiqua"/>
                <w:sz w:val="22"/>
                <w:szCs w:val="22"/>
              </w:rPr>
              <w:t>Pakistan Petroleum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w:t>
            </w:r>
            <w:r w:rsidR="004D4F11">
              <w:rPr>
                <w:rFonts w:ascii="Book Antiqua" w:hAnsi="Book Antiqua" w:cs="Times New Roman"/>
                <w:sz w:val="22"/>
                <w:szCs w:val="22"/>
              </w:rPr>
              <w:t xml:space="preserve"> the</w:t>
            </w:r>
            <w:r w:rsidRPr="003E0610">
              <w:rPr>
                <w:rFonts w:ascii="Book Antiqua" w:hAnsi="Book Antiqua" w:cs="Times New Roman"/>
                <w:sz w:val="22"/>
                <w:szCs w:val="22"/>
              </w:rPr>
              <w:t xml:space="preserve"> </w:t>
            </w:r>
            <w:r w:rsidR="004D4F11" w:rsidRPr="00BA01EB">
              <w:rPr>
                <w:rFonts w:ascii="Book Antiqua" w:hAnsi="Book Antiqua"/>
                <w:sz w:val="22"/>
                <w:szCs w:val="22"/>
              </w:rPr>
              <w:t>Chief Executive Officer and the Company Secretary</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7D5BC8"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4D4F11" w:rsidRPr="00BA01EB">
              <w:rPr>
                <w:rFonts w:ascii="Book Antiqua" w:hAnsi="Book Antiqua"/>
                <w:sz w:val="22"/>
                <w:szCs w:val="22"/>
              </w:rPr>
              <w:t>Sections 132, 134 and 140 of Companies Act, 2017 (</w:t>
            </w:r>
            <w:r w:rsidR="004D4F11" w:rsidRPr="00BA01EB">
              <w:rPr>
                <w:rFonts w:ascii="Book Antiqua" w:hAnsi="Book Antiqua"/>
                <w:b/>
                <w:sz w:val="22"/>
                <w:szCs w:val="22"/>
              </w:rPr>
              <w:t>the Act</w:t>
            </w:r>
            <w:r w:rsidR="004D4F11" w:rsidRPr="00BA01EB">
              <w:rPr>
                <w:rFonts w:ascii="Book Antiqua" w:hAnsi="Book Antiqua"/>
                <w:sz w:val="22"/>
                <w:szCs w:val="22"/>
              </w:rPr>
              <w:t xml:space="preserve">) read with Section 479 thereof </w:t>
            </w:r>
          </w:p>
          <w:p w:rsidR="004D4F11" w:rsidRPr="003E0610" w:rsidRDefault="004D4F11" w:rsidP="003E0610">
            <w:pPr>
              <w:jc w:val="both"/>
              <w:rPr>
                <w:rFonts w:ascii="Book Antiqua" w:hAnsi="Book Antiqua"/>
                <w:sz w:val="22"/>
                <w:szCs w:val="22"/>
              </w:rPr>
            </w:pPr>
          </w:p>
          <w:p w:rsidR="004D4F11" w:rsidRPr="000E52F3" w:rsidRDefault="004D4F11" w:rsidP="000E52F3">
            <w:pPr>
              <w:pStyle w:val="ListParagraph"/>
              <w:spacing w:line="276" w:lineRule="auto"/>
              <w:ind w:left="0"/>
              <w:jc w:val="both"/>
              <w:rPr>
                <w:rFonts w:ascii="Book Antiqua" w:eastAsia="Courier New" w:hAnsi="Book Antiqua" w:cs="Courier New"/>
                <w:i/>
                <w:sz w:val="22"/>
                <w:szCs w:val="22"/>
              </w:rPr>
            </w:pPr>
            <w:r w:rsidRPr="00BA01EB">
              <w:rPr>
                <w:rFonts w:ascii="Book Antiqua" w:hAnsi="Book Antiqua"/>
                <w:sz w:val="22"/>
                <w:szCs w:val="22"/>
              </w:rPr>
              <w:t>Brief facts of the case are that the records available with the Securities and Exchange Commission of Pakistan (</w:t>
            </w:r>
            <w:r w:rsidRPr="00BA01EB">
              <w:rPr>
                <w:rFonts w:ascii="Book Antiqua" w:hAnsi="Book Antiqua"/>
                <w:b/>
                <w:bCs/>
                <w:sz w:val="22"/>
                <w:szCs w:val="22"/>
              </w:rPr>
              <w:t>the Commission</w:t>
            </w:r>
            <w:r w:rsidRPr="00BA01EB">
              <w:rPr>
                <w:rFonts w:ascii="Book Antiqua" w:hAnsi="Book Antiqua"/>
                <w:sz w:val="22"/>
                <w:szCs w:val="22"/>
              </w:rPr>
              <w:t>) transpired that the Company announced on the Pakistan Stock Exchange (PSX) that its annual general meeting for the year 2018 will be held on October 26, 2018 (</w:t>
            </w:r>
            <w:r w:rsidRPr="00BA01EB">
              <w:rPr>
                <w:rFonts w:ascii="Book Antiqua" w:hAnsi="Book Antiqua"/>
                <w:b/>
                <w:sz w:val="22"/>
                <w:szCs w:val="22"/>
              </w:rPr>
              <w:t>the AGM</w:t>
            </w:r>
            <w:r w:rsidRPr="00BA01EB">
              <w:rPr>
                <w:rFonts w:ascii="Book Antiqua" w:hAnsi="Book Antiqua"/>
                <w:sz w:val="22"/>
                <w:szCs w:val="22"/>
              </w:rPr>
              <w:t xml:space="preserve">). However, notice of the AGM was neither sent to members nor it was published in the newspapers within the time prescribed in Section 132(3) of the Act. Further, one of the agenda items stated in the AGM notice was for approval of bonus shares which despite not being an ordinary business, was clubbed into ordinary business contrary to the provisions of Section 140 (1) of the Act. </w:t>
            </w:r>
            <w:r w:rsidRPr="00BA01EB">
              <w:rPr>
                <w:rFonts w:ascii="Book Antiqua" w:eastAsia="Courier New" w:hAnsi="Book Antiqua" w:cs="Courier New"/>
                <w:sz w:val="22"/>
                <w:szCs w:val="22"/>
              </w:rPr>
              <w:t xml:space="preserve">In addition, the Company failed to annex statement of material facts for the business </w:t>
            </w:r>
            <w:r w:rsidRPr="00BA01EB">
              <w:rPr>
                <w:rFonts w:ascii="Book Antiqua" w:hAnsi="Book Antiqua"/>
                <w:sz w:val="22"/>
                <w:szCs w:val="22"/>
              </w:rPr>
              <w:t xml:space="preserve">of approving bonus shares, contrary to the requirements of </w:t>
            </w:r>
            <w:r w:rsidRPr="00BA01EB">
              <w:rPr>
                <w:rFonts w:ascii="Book Antiqua" w:eastAsia="Courier New" w:hAnsi="Book Antiqua" w:cs="Courier New"/>
                <w:sz w:val="22"/>
                <w:szCs w:val="22"/>
              </w:rPr>
              <w:t>Section 134(3) of the Act.</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213C34" w:rsidRDefault="00213C34" w:rsidP="004D4F11">
            <w:pPr>
              <w:pStyle w:val="ListParagraph"/>
              <w:spacing w:line="360" w:lineRule="auto"/>
              <w:ind w:left="0"/>
              <w:contextualSpacing w:val="0"/>
              <w:jc w:val="both"/>
              <w:rPr>
                <w:rFonts w:ascii="Book Antiqua" w:hAnsi="Book Antiqua" w:cs="Times New Roman"/>
                <w:sz w:val="22"/>
                <w:szCs w:val="22"/>
              </w:rPr>
            </w:pPr>
          </w:p>
          <w:p w:rsidR="004D4F11" w:rsidRPr="00BA01EB" w:rsidRDefault="004D4F11" w:rsidP="004D4F11">
            <w:pPr>
              <w:pStyle w:val="ListParagraph"/>
              <w:spacing w:line="276" w:lineRule="auto"/>
              <w:ind w:left="0"/>
              <w:jc w:val="both"/>
              <w:rPr>
                <w:rFonts w:ascii="Book Antiqua" w:hAnsi="Book Antiqua"/>
                <w:sz w:val="22"/>
                <w:szCs w:val="22"/>
              </w:rPr>
            </w:pPr>
            <w:bookmarkStart w:id="0" w:name="_Hlk95298258"/>
            <w:r w:rsidRPr="00BA01EB">
              <w:rPr>
                <w:rFonts w:ascii="Book Antiqua" w:hAnsi="Book Antiqua"/>
                <w:sz w:val="22"/>
                <w:szCs w:val="22"/>
              </w:rPr>
              <w:lastRenderedPageBreak/>
              <w:t>I have analyzed the facts of the case in light of the relevant provisions of the Act and the information available on record including the written submissions by the Respondents and arguments of their Representative during the hearings and observed that:</w:t>
            </w:r>
          </w:p>
          <w:p w:rsidR="004D4F11" w:rsidRPr="00BA01EB" w:rsidRDefault="004D4F11" w:rsidP="004D4F11">
            <w:pPr>
              <w:pStyle w:val="ListParagraph"/>
              <w:spacing w:line="276" w:lineRule="auto"/>
              <w:ind w:left="0"/>
              <w:jc w:val="both"/>
              <w:rPr>
                <w:rFonts w:ascii="Book Antiqua" w:hAnsi="Book Antiqua"/>
                <w:sz w:val="22"/>
                <w:szCs w:val="22"/>
              </w:rPr>
            </w:pPr>
          </w:p>
          <w:p w:rsidR="004D4F11" w:rsidRPr="00881922" w:rsidRDefault="004D4F11" w:rsidP="000E52F3">
            <w:pPr>
              <w:pStyle w:val="ListParagraph"/>
              <w:numPr>
                <w:ilvl w:val="0"/>
                <w:numId w:val="26"/>
              </w:numPr>
              <w:spacing w:line="276" w:lineRule="auto"/>
              <w:ind w:left="537" w:hanging="426"/>
              <w:jc w:val="both"/>
              <w:rPr>
                <w:rFonts w:ascii="Book Antiqua" w:hAnsi="Book Antiqua"/>
                <w:sz w:val="22"/>
                <w:szCs w:val="22"/>
              </w:rPr>
            </w:pPr>
            <w:r w:rsidRPr="00881922">
              <w:rPr>
                <w:rFonts w:ascii="Book Antiqua" w:hAnsi="Book Antiqua"/>
                <w:sz w:val="22"/>
                <w:szCs w:val="22"/>
              </w:rPr>
              <w:t>With regard to the matter of the Company’s holding AGM, the Hon’ble Islamabad High Court, Islamabad in its judgement dated September 30, 2019 (</w:t>
            </w:r>
            <w:r w:rsidRPr="00881922">
              <w:rPr>
                <w:rFonts w:ascii="Book Antiqua" w:hAnsi="Book Antiqua"/>
                <w:b/>
                <w:bCs/>
                <w:sz w:val="22"/>
                <w:szCs w:val="22"/>
              </w:rPr>
              <w:t>the J</w:t>
            </w:r>
            <w:r w:rsidRPr="00881922">
              <w:rPr>
                <w:rFonts w:ascii="Book Antiqua" w:hAnsi="Book Antiqua"/>
                <w:b/>
                <w:sz w:val="22"/>
                <w:szCs w:val="22"/>
              </w:rPr>
              <w:t>udgment</w:t>
            </w:r>
            <w:r w:rsidRPr="00881922">
              <w:rPr>
                <w:rFonts w:ascii="Book Antiqua" w:hAnsi="Book Antiqua"/>
                <w:sz w:val="22"/>
                <w:szCs w:val="22"/>
              </w:rPr>
              <w:t>) has dealt in detail regarding publication and circulation of notice of general meeting at least twenty-one (21) days in advance to the date of general meeting as required under Section 132(3) of the Act. Paragraph No. 26 of the Judgment, clearly states, inter alia, that:</w:t>
            </w:r>
          </w:p>
          <w:p w:rsidR="004D4F11" w:rsidRPr="00BA01EB" w:rsidRDefault="000E52F3" w:rsidP="000E52F3">
            <w:pPr>
              <w:pStyle w:val="ListParagraph"/>
              <w:spacing w:line="276" w:lineRule="auto"/>
              <w:ind w:left="537" w:hanging="426"/>
              <w:jc w:val="both"/>
              <w:rPr>
                <w:rFonts w:ascii="Book Antiqua" w:hAnsi="Book Antiqua"/>
                <w:i/>
                <w:iCs/>
                <w:sz w:val="22"/>
                <w:szCs w:val="22"/>
              </w:rPr>
            </w:pPr>
            <w:r>
              <w:rPr>
                <w:rFonts w:ascii="Book Antiqua" w:hAnsi="Book Antiqua"/>
                <w:i/>
                <w:iCs/>
                <w:sz w:val="22"/>
                <w:szCs w:val="22"/>
              </w:rPr>
              <w:t xml:space="preserve">        </w:t>
            </w:r>
            <w:r w:rsidR="004D4F11" w:rsidRPr="00BA01EB">
              <w:rPr>
                <w:rFonts w:ascii="Book Antiqua" w:hAnsi="Book Antiqua"/>
                <w:i/>
                <w:iCs/>
                <w:sz w:val="22"/>
                <w:szCs w:val="22"/>
              </w:rPr>
              <w:t>“… … … . Therefore, I am not inclined to undo the result of the voting in the 67</w:t>
            </w:r>
            <w:r w:rsidR="004D4F11" w:rsidRPr="00BA01EB">
              <w:rPr>
                <w:rFonts w:ascii="Book Antiqua" w:hAnsi="Book Antiqua"/>
                <w:i/>
                <w:iCs/>
                <w:sz w:val="22"/>
                <w:szCs w:val="22"/>
                <w:vertAlign w:val="superscript"/>
              </w:rPr>
              <w:t>th</w:t>
            </w:r>
            <w:r w:rsidR="004D4F11" w:rsidRPr="00BA01EB">
              <w:rPr>
                <w:rFonts w:ascii="Book Antiqua" w:hAnsi="Book Antiqua"/>
                <w:i/>
                <w:iCs/>
                <w:sz w:val="22"/>
                <w:szCs w:val="22"/>
              </w:rPr>
              <w:t xml:space="preserve"> A.G.M. only because the notice pursuant to Section 132(3) of the 2017 Act was published with a delay bearing in mind that the petitioner was instrumental in causing the delay.”</w:t>
            </w:r>
          </w:p>
          <w:p w:rsidR="004D4F11" w:rsidRDefault="004D4F11" w:rsidP="000E52F3">
            <w:pPr>
              <w:spacing w:line="276" w:lineRule="auto"/>
              <w:ind w:left="537" w:hanging="426"/>
              <w:jc w:val="both"/>
              <w:rPr>
                <w:rFonts w:ascii="Book Antiqua" w:hAnsi="Book Antiqua"/>
                <w:sz w:val="22"/>
                <w:szCs w:val="22"/>
              </w:rPr>
            </w:pPr>
          </w:p>
          <w:p w:rsidR="004D4F11" w:rsidRPr="00881922" w:rsidRDefault="004D4F11" w:rsidP="000E52F3">
            <w:pPr>
              <w:spacing w:line="276" w:lineRule="auto"/>
              <w:ind w:left="537" w:hanging="426"/>
              <w:jc w:val="both"/>
              <w:rPr>
                <w:rFonts w:ascii="Book Antiqua" w:hAnsi="Book Antiqua"/>
                <w:sz w:val="22"/>
                <w:szCs w:val="22"/>
              </w:rPr>
            </w:pPr>
            <w:r w:rsidRPr="00881922">
              <w:rPr>
                <w:rFonts w:ascii="Book Antiqua" w:hAnsi="Book Antiqua"/>
                <w:sz w:val="22"/>
                <w:szCs w:val="22"/>
              </w:rPr>
              <w:t>In the later paragraphs of the Judgment, it is further stated that:</w:t>
            </w:r>
          </w:p>
          <w:p w:rsidR="004D4F11" w:rsidRDefault="000E52F3" w:rsidP="000E52F3">
            <w:pPr>
              <w:spacing w:line="276" w:lineRule="auto"/>
              <w:ind w:left="537" w:right="57" w:hanging="426"/>
              <w:jc w:val="both"/>
              <w:rPr>
                <w:rFonts w:ascii="Book Antiqua" w:hAnsi="Book Antiqua"/>
                <w:i/>
                <w:iCs/>
                <w:sz w:val="22"/>
                <w:szCs w:val="22"/>
              </w:rPr>
            </w:pPr>
            <w:r>
              <w:rPr>
                <w:rFonts w:ascii="Book Antiqua" w:hAnsi="Book Antiqua"/>
                <w:i/>
                <w:iCs/>
                <w:sz w:val="22"/>
                <w:szCs w:val="22"/>
              </w:rPr>
              <w:t xml:space="preserve">       </w:t>
            </w:r>
            <w:r w:rsidR="004D4F11" w:rsidRPr="00BA01EB">
              <w:rPr>
                <w:rFonts w:ascii="Book Antiqua" w:hAnsi="Book Antiqua"/>
                <w:i/>
                <w:iCs/>
                <w:sz w:val="22"/>
                <w:szCs w:val="22"/>
              </w:rPr>
              <w:t xml:space="preserve">“29.    The Corporate Supervision Department of the S.E.C.P. has issued show cause notice dated 30.10.2018 to the Company Secretary of P.P.L. for not sending or publishing a notice with respect to the A.G.M. dated 26.10.2018 within the time prescribed in section 132(3) of the 2017 Act. While sending this notice, S.E.C.P. appears to have lost sight of the fact that P.P.L.’s Company Secretary’s request dated 09.10.2018 to extend the date of holding the A.G.M. so that the requirements of section132(3) of the 2017 Act were complied with was turned down by none other than the Deputy Director of the S.E.C.P. vide </w:t>
            </w:r>
            <w:proofErr w:type="spellStart"/>
            <w:r w:rsidR="004D4F11" w:rsidRPr="00BA01EB">
              <w:rPr>
                <w:rFonts w:ascii="Book Antiqua" w:hAnsi="Book Antiqua"/>
                <w:i/>
                <w:iCs/>
                <w:sz w:val="22"/>
                <w:szCs w:val="22"/>
              </w:rPr>
              <w:t>e.mail</w:t>
            </w:r>
            <w:proofErr w:type="spellEnd"/>
            <w:r w:rsidR="004D4F11" w:rsidRPr="00BA01EB">
              <w:rPr>
                <w:rFonts w:ascii="Book Antiqua" w:hAnsi="Book Antiqua"/>
                <w:i/>
                <w:iCs/>
                <w:sz w:val="22"/>
                <w:szCs w:val="22"/>
              </w:rPr>
              <w:t xml:space="preserve"> dated 12.10.2018.”</w:t>
            </w:r>
          </w:p>
          <w:p w:rsidR="004D4F11" w:rsidRDefault="004D4F11" w:rsidP="000E52F3">
            <w:pPr>
              <w:spacing w:line="276" w:lineRule="auto"/>
              <w:ind w:left="537" w:right="57" w:hanging="426"/>
              <w:jc w:val="both"/>
              <w:rPr>
                <w:rFonts w:ascii="Book Antiqua" w:hAnsi="Book Antiqua"/>
                <w:i/>
                <w:iCs/>
                <w:sz w:val="22"/>
                <w:szCs w:val="22"/>
              </w:rPr>
            </w:pPr>
          </w:p>
          <w:p w:rsidR="004D4F11" w:rsidRDefault="004D4F11" w:rsidP="000E52F3">
            <w:pPr>
              <w:spacing w:line="276" w:lineRule="auto"/>
              <w:ind w:left="537" w:right="57"/>
              <w:jc w:val="both"/>
              <w:rPr>
                <w:rFonts w:ascii="Book Antiqua" w:hAnsi="Book Antiqua"/>
                <w:sz w:val="22"/>
                <w:szCs w:val="22"/>
              </w:rPr>
            </w:pPr>
            <w:r w:rsidRPr="008162AB">
              <w:rPr>
                <w:rFonts w:ascii="Book Antiqua" w:hAnsi="Book Antiqua"/>
                <w:sz w:val="22"/>
                <w:szCs w:val="22"/>
              </w:rPr>
              <w:t xml:space="preserve">Hence, in light of the observations of the Hon’ble Court, particularly the ones produced above, amongst others, </w:t>
            </w:r>
            <w:r>
              <w:rPr>
                <w:rFonts w:ascii="Book Antiqua" w:hAnsi="Book Antiqua"/>
                <w:sz w:val="22"/>
                <w:szCs w:val="22"/>
              </w:rPr>
              <w:t xml:space="preserve">which </w:t>
            </w:r>
            <w:r w:rsidRPr="008162AB">
              <w:rPr>
                <w:rFonts w:ascii="Book Antiqua" w:hAnsi="Book Antiqua"/>
                <w:sz w:val="22"/>
                <w:szCs w:val="22"/>
              </w:rPr>
              <w:t>clearly indicate</w:t>
            </w:r>
            <w:r>
              <w:rPr>
                <w:rFonts w:ascii="Book Antiqua" w:hAnsi="Book Antiqua"/>
                <w:sz w:val="22"/>
                <w:szCs w:val="22"/>
              </w:rPr>
              <w:t>s</w:t>
            </w:r>
            <w:r w:rsidRPr="008162AB">
              <w:rPr>
                <w:rFonts w:ascii="Book Antiqua" w:hAnsi="Book Antiqua"/>
                <w:sz w:val="22"/>
                <w:szCs w:val="22"/>
              </w:rPr>
              <w:t xml:space="preserve"> that the Hon’ble Court did not find it proper the issuing of the SCN in such circumstances where the Company had requested extension which was denied by SECP.</w:t>
            </w:r>
            <w:r>
              <w:rPr>
                <w:rFonts w:ascii="Book Antiqua" w:hAnsi="Book Antiqua"/>
                <w:sz w:val="22"/>
                <w:szCs w:val="22"/>
              </w:rPr>
              <w:t xml:space="preserve"> Therefore the proceedings under Section 132 (3) of the Act are hereby dropped.</w:t>
            </w:r>
          </w:p>
          <w:p w:rsidR="004D4F11" w:rsidRDefault="004D4F11" w:rsidP="000E52F3">
            <w:pPr>
              <w:spacing w:line="276" w:lineRule="auto"/>
              <w:ind w:left="537" w:right="57" w:hanging="426"/>
              <w:jc w:val="both"/>
              <w:rPr>
                <w:rFonts w:ascii="Book Antiqua" w:hAnsi="Book Antiqua"/>
                <w:sz w:val="22"/>
                <w:szCs w:val="22"/>
              </w:rPr>
            </w:pPr>
          </w:p>
          <w:p w:rsidR="004D4F11" w:rsidRPr="000D5BF9" w:rsidRDefault="004D4F11" w:rsidP="000E52F3">
            <w:pPr>
              <w:pStyle w:val="ListParagraph"/>
              <w:numPr>
                <w:ilvl w:val="0"/>
                <w:numId w:val="26"/>
              </w:numPr>
              <w:tabs>
                <w:tab w:val="left" w:pos="0"/>
              </w:tabs>
              <w:autoSpaceDE w:val="0"/>
              <w:autoSpaceDN w:val="0"/>
              <w:adjustRightInd w:val="0"/>
              <w:spacing w:line="276" w:lineRule="auto"/>
              <w:ind w:left="537" w:hanging="426"/>
              <w:jc w:val="both"/>
              <w:rPr>
                <w:rFonts w:ascii="Book Antiqua" w:hAnsi="Book Antiqua"/>
                <w:sz w:val="22"/>
                <w:szCs w:val="22"/>
              </w:rPr>
            </w:pPr>
            <w:r w:rsidRPr="00E86485">
              <w:rPr>
                <w:rFonts w:ascii="Book Antiqua" w:hAnsi="Book Antiqua"/>
                <w:sz w:val="22"/>
                <w:szCs w:val="22"/>
              </w:rPr>
              <w:t>In</w:t>
            </w:r>
            <w:r w:rsidRPr="00881922">
              <w:rPr>
                <w:rFonts w:ascii="Book Antiqua" w:hAnsi="Book Antiqua"/>
                <w:sz w:val="22"/>
                <w:szCs w:val="22"/>
              </w:rPr>
              <w:t xml:space="preserve"> addition to the above, proceedings through the SCN were also initiated under Sections 140 (1) and 134 (3) of the Act </w:t>
            </w:r>
            <w:r w:rsidRPr="00881922">
              <w:rPr>
                <w:rFonts w:ascii="Book Antiqua" w:hAnsi="Book Antiqua"/>
                <w:sz w:val="22"/>
                <w:szCs w:val="22"/>
              </w:rPr>
              <w:lastRenderedPageBreak/>
              <w:t>regarding</w:t>
            </w:r>
            <w:r>
              <w:rPr>
                <w:rFonts w:ascii="Book Antiqua" w:hAnsi="Book Antiqua"/>
                <w:sz w:val="22"/>
                <w:szCs w:val="22"/>
              </w:rPr>
              <w:t xml:space="preserve"> that</w:t>
            </w:r>
            <w:r w:rsidRPr="00881922">
              <w:rPr>
                <w:rFonts w:ascii="Book Antiqua" w:hAnsi="Book Antiqua"/>
                <w:sz w:val="22"/>
                <w:szCs w:val="22"/>
              </w:rPr>
              <w:t xml:space="preserve"> one of the agenda items stated in the subject AGM notice regarding approval of bonus shares which despite not being ordi</w:t>
            </w:r>
            <w:bookmarkStart w:id="1" w:name="_GoBack"/>
            <w:bookmarkEnd w:id="1"/>
            <w:r w:rsidRPr="00881922">
              <w:rPr>
                <w:rFonts w:ascii="Book Antiqua" w:hAnsi="Book Antiqua"/>
                <w:sz w:val="22"/>
                <w:szCs w:val="22"/>
              </w:rPr>
              <w:t xml:space="preserve">nary business, clubbed with and into ordinary business and failure to annex statement of material facts pertaining to the aforesaid business of approving bonus shares and draft resolution thereof. </w:t>
            </w:r>
            <w:bookmarkEnd w:id="0"/>
            <w:r w:rsidRPr="00881922">
              <w:rPr>
                <w:rFonts w:ascii="Book Antiqua" w:hAnsi="Book Antiqua"/>
                <w:sz w:val="22"/>
                <w:szCs w:val="22"/>
              </w:rPr>
              <w:t xml:space="preserve">In this context, </w:t>
            </w:r>
            <w:r w:rsidRPr="000D5BF9">
              <w:rPr>
                <w:rFonts w:ascii="Book Antiqua" w:hAnsi="Book Antiqua"/>
                <w:sz w:val="22"/>
                <w:szCs w:val="22"/>
              </w:rPr>
              <w:t xml:space="preserve">I </w:t>
            </w:r>
            <w:r w:rsidRPr="00881922">
              <w:rPr>
                <w:rFonts w:ascii="Book Antiqua" w:hAnsi="Book Antiqua"/>
                <w:sz w:val="22"/>
                <w:szCs w:val="22"/>
              </w:rPr>
              <w:t xml:space="preserve">have duly considered the </w:t>
            </w:r>
            <w:r w:rsidRPr="008A2F4A">
              <w:rPr>
                <w:rFonts w:ascii="Book Antiqua" w:hAnsi="Book Antiqua"/>
                <w:sz w:val="22"/>
                <w:szCs w:val="22"/>
              </w:rPr>
              <w:t>submission</w:t>
            </w:r>
            <w:r w:rsidRPr="000D5BF9">
              <w:rPr>
                <w:rFonts w:ascii="Book Antiqua" w:hAnsi="Book Antiqua"/>
                <w:sz w:val="22"/>
                <w:szCs w:val="22"/>
              </w:rPr>
              <w:t xml:space="preserve"> of the Respondent wherein it is contented that </w:t>
            </w:r>
            <w:r w:rsidRPr="00881922">
              <w:rPr>
                <w:rFonts w:ascii="Book Antiqua" w:hAnsi="Book Antiqua"/>
                <w:sz w:val="22"/>
                <w:szCs w:val="22"/>
              </w:rPr>
              <w:t>the dividend was issued in the form of bonus shares therefore, it was classified as ‘Ordinary Business’ in the AGM Notice and hence did not require to circulate draft resolution under section 140(1) of the Act , besi</w:t>
            </w:r>
            <w:r w:rsidRPr="000D5BF9">
              <w:rPr>
                <w:rFonts w:ascii="Book Antiqua" w:hAnsi="Book Antiqua"/>
                <w:sz w:val="22"/>
                <w:szCs w:val="22"/>
              </w:rPr>
              <w:t xml:space="preserve">des the statement of material fact </w:t>
            </w:r>
            <w:r w:rsidRPr="00881922">
              <w:rPr>
                <w:rFonts w:ascii="Book Antiqua" w:hAnsi="Book Antiqua"/>
                <w:sz w:val="22"/>
                <w:szCs w:val="22"/>
              </w:rPr>
              <w:t>under 134(3) of the Act.</w:t>
            </w:r>
            <w:r w:rsidRPr="008A2F4A">
              <w:rPr>
                <w:rFonts w:ascii="Book Antiqua" w:hAnsi="Book Antiqua"/>
                <w:sz w:val="22"/>
                <w:szCs w:val="22"/>
              </w:rPr>
              <w:t xml:space="preserve"> </w:t>
            </w:r>
          </w:p>
          <w:p w:rsidR="004D4F11" w:rsidRPr="008A2F4A" w:rsidRDefault="004D4F11" w:rsidP="000E52F3">
            <w:pPr>
              <w:pStyle w:val="ListParagraph"/>
              <w:tabs>
                <w:tab w:val="left" w:pos="0"/>
              </w:tabs>
              <w:autoSpaceDE w:val="0"/>
              <w:autoSpaceDN w:val="0"/>
              <w:adjustRightInd w:val="0"/>
              <w:spacing w:line="276" w:lineRule="auto"/>
              <w:ind w:left="537" w:hanging="426"/>
              <w:jc w:val="both"/>
              <w:rPr>
                <w:rFonts w:ascii="Book Antiqua" w:hAnsi="Book Antiqua"/>
                <w:sz w:val="22"/>
                <w:szCs w:val="22"/>
              </w:rPr>
            </w:pPr>
          </w:p>
          <w:p w:rsidR="004D4F11" w:rsidRPr="00881922" w:rsidRDefault="004D4F11" w:rsidP="000E52F3">
            <w:pPr>
              <w:spacing w:line="276" w:lineRule="auto"/>
              <w:ind w:left="537" w:hanging="426"/>
              <w:jc w:val="both"/>
              <w:rPr>
                <w:rFonts w:ascii="Book Antiqua" w:hAnsi="Book Antiqua"/>
                <w:sz w:val="22"/>
                <w:szCs w:val="22"/>
              </w:rPr>
            </w:pPr>
            <w:r>
              <w:rPr>
                <w:rFonts w:ascii="Book Antiqua" w:hAnsi="Book Antiqua"/>
                <w:sz w:val="22"/>
                <w:szCs w:val="22"/>
              </w:rPr>
              <w:tab/>
            </w:r>
            <w:r w:rsidRPr="00881922">
              <w:rPr>
                <w:rFonts w:ascii="Book Antiqua" w:hAnsi="Book Antiqua"/>
                <w:sz w:val="22"/>
                <w:szCs w:val="22"/>
              </w:rPr>
              <w:t xml:space="preserve">I, </w:t>
            </w:r>
            <w:r>
              <w:rPr>
                <w:rFonts w:ascii="Book Antiqua" w:hAnsi="Book Antiqua"/>
                <w:sz w:val="22"/>
                <w:szCs w:val="22"/>
              </w:rPr>
              <w:t xml:space="preserve">hereby agree with the stance of the Respondents </w:t>
            </w:r>
            <w:r w:rsidRPr="00881922">
              <w:rPr>
                <w:rFonts w:ascii="Book Antiqua" w:hAnsi="Book Antiqua"/>
                <w:sz w:val="22"/>
                <w:szCs w:val="22"/>
              </w:rPr>
              <w:t xml:space="preserve">that the Company issued </w:t>
            </w:r>
            <w:r>
              <w:rPr>
                <w:rFonts w:ascii="Book Antiqua" w:hAnsi="Book Antiqua"/>
                <w:sz w:val="22"/>
                <w:szCs w:val="22"/>
              </w:rPr>
              <w:t xml:space="preserve">dividend in the form of </w:t>
            </w:r>
            <w:r w:rsidRPr="00881922">
              <w:rPr>
                <w:rFonts w:ascii="Book Antiqua" w:hAnsi="Book Antiqua"/>
                <w:sz w:val="22"/>
                <w:szCs w:val="22"/>
              </w:rPr>
              <w:t>bonus shares</w:t>
            </w:r>
            <w:r>
              <w:rPr>
                <w:rFonts w:ascii="Book Antiqua" w:hAnsi="Book Antiqua"/>
                <w:sz w:val="22"/>
                <w:szCs w:val="22"/>
              </w:rPr>
              <w:t>;</w:t>
            </w:r>
            <w:r w:rsidRPr="00881922">
              <w:rPr>
                <w:rFonts w:ascii="Book Antiqua" w:hAnsi="Book Antiqua"/>
                <w:sz w:val="22"/>
                <w:szCs w:val="22"/>
              </w:rPr>
              <w:t xml:space="preserve"> therefore, I close th</w:t>
            </w:r>
            <w:r>
              <w:rPr>
                <w:rFonts w:ascii="Book Antiqua" w:hAnsi="Book Antiqua"/>
                <w:sz w:val="22"/>
                <w:szCs w:val="22"/>
              </w:rPr>
              <w:t xml:space="preserve">is </w:t>
            </w:r>
            <w:r w:rsidRPr="00881922">
              <w:rPr>
                <w:rFonts w:ascii="Book Antiqua" w:hAnsi="Book Antiqua"/>
                <w:sz w:val="22"/>
                <w:szCs w:val="22"/>
              </w:rPr>
              <w:t>proceedings initiated through the SCN against the Respondents with no further action.</w:t>
            </w:r>
          </w:p>
          <w:p w:rsidR="004D4F11" w:rsidRPr="00BD4E85" w:rsidRDefault="004D4F11" w:rsidP="004D4F11">
            <w:pPr>
              <w:pStyle w:val="ListParagraph"/>
              <w:spacing w:line="276" w:lineRule="auto"/>
              <w:jc w:val="both"/>
              <w:rPr>
                <w:rFonts w:ascii="Book Antiqua" w:hAnsi="Book Antiqua"/>
                <w:sz w:val="22"/>
                <w:szCs w:val="22"/>
              </w:rPr>
            </w:pPr>
          </w:p>
          <w:p w:rsidR="004D4F11" w:rsidRPr="003E0610" w:rsidRDefault="004D4F11" w:rsidP="004D4F11">
            <w:pPr>
              <w:pStyle w:val="ListParagraph"/>
              <w:spacing w:line="360" w:lineRule="auto"/>
              <w:ind w:left="0"/>
              <w:contextualSpacing w:val="0"/>
              <w:jc w:val="both"/>
              <w:rPr>
                <w:rFonts w:ascii="Book Antiqua" w:hAnsi="Book Antiqua" w:cs="Times New Roman"/>
                <w:sz w:val="22"/>
                <w:szCs w:val="22"/>
              </w:rPr>
            </w:pPr>
            <w:r w:rsidRPr="00BD4E85">
              <w:rPr>
                <w:rFonts w:ascii="Book Antiqua" w:hAnsi="Book Antiqua"/>
                <w:sz w:val="22"/>
                <w:szCs w:val="22"/>
              </w:rPr>
              <w:t>Nothing in this Order may be deemed to prejudice the operation of any provision of the Act providing for imposition of penalties in respect of any default, omission, violation of the Act.</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4D4F11" w:rsidP="00F604C5">
            <w:pPr>
              <w:rPr>
                <w:rFonts w:ascii="Book Antiqua" w:hAnsi="Book Antiqua" w:cs="Times New Roman"/>
                <w:sz w:val="22"/>
                <w:szCs w:val="22"/>
              </w:rPr>
            </w:pPr>
            <w:r>
              <w:rPr>
                <w:rFonts w:ascii="Book Antiqua" w:hAnsi="Book Antiqua"/>
                <w:b/>
                <w:color w:val="262626" w:themeColor="text1" w:themeTint="D9"/>
                <w:sz w:val="22"/>
                <w:szCs w:val="22"/>
              </w:rPr>
              <w:t>No penalty has been imposed on the respondents.</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EC" w:rsidRDefault="008678EC" w:rsidP="007F33F3">
      <w:r>
        <w:separator/>
      </w:r>
    </w:p>
  </w:endnote>
  <w:endnote w:type="continuationSeparator" w:id="0">
    <w:p w:rsidR="008678EC" w:rsidRDefault="008678EC"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EC" w:rsidRDefault="008678EC" w:rsidP="007F33F3">
      <w:r>
        <w:separator/>
      </w:r>
    </w:p>
  </w:footnote>
  <w:footnote w:type="continuationSeparator" w:id="0">
    <w:p w:rsidR="008678EC" w:rsidRDefault="008678EC"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0CBC2CD2"/>
    <w:multiLevelType w:val="hybridMultilevel"/>
    <w:tmpl w:val="64C0AE9A"/>
    <w:lvl w:ilvl="0" w:tplc="A96AD9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401E6"/>
    <w:multiLevelType w:val="hybridMultilevel"/>
    <w:tmpl w:val="D26C2D28"/>
    <w:lvl w:ilvl="0" w:tplc="23909E18">
      <w:start w:val="2"/>
      <w:numFmt w:val="decimal"/>
      <w:lvlText w:val="%1."/>
      <w:lvlJc w:val="left"/>
      <w:pPr>
        <w:ind w:left="360" w:hanging="360"/>
      </w:pPr>
      <w:rPr>
        <w:rFonts w:hint="default"/>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A55EF"/>
    <w:multiLevelType w:val="hybridMultilevel"/>
    <w:tmpl w:val="142E95FE"/>
    <w:lvl w:ilvl="0" w:tplc="B1B4EF4E">
      <w:start w:val="14"/>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14BEC"/>
    <w:multiLevelType w:val="hybridMultilevel"/>
    <w:tmpl w:val="C5A49EE8"/>
    <w:lvl w:ilvl="0" w:tplc="C81693CC">
      <w:start w:val="2"/>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4"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1343E"/>
    <w:multiLevelType w:val="hybridMultilevel"/>
    <w:tmpl w:val="1D384854"/>
    <w:lvl w:ilvl="0" w:tplc="54105CA8">
      <w:start w:val="1"/>
      <w:numFmt w:val="lowerLetter"/>
      <w:lvlText w:val="%1."/>
      <w:lvlJc w:val="left"/>
      <w:pPr>
        <w:ind w:left="720" w:hanging="360"/>
      </w:pPr>
      <w:rPr>
        <w:rFonts w:ascii="Book Antiqua" w:hAnsi="Book Antiqu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538423E"/>
    <w:multiLevelType w:val="hybridMultilevel"/>
    <w:tmpl w:val="F6F0F4CC"/>
    <w:lvl w:ilvl="0" w:tplc="03CE2DDE">
      <w:start w:val="1"/>
      <w:numFmt w:val="lowerRoman"/>
      <w:lvlText w:val="(%1)"/>
      <w:lvlJc w:val="left"/>
      <w:pPr>
        <w:ind w:left="1080" w:hanging="720"/>
      </w:pPr>
      <w:rPr>
        <w:rFonts w:ascii="Palatino Linotype" w:eastAsia="Times New Roman"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E7183"/>
    <w:multiLevelType w:val="hybridMultilevel"/>
    <w:tmpl w:val="FA60B65E"/>
    <w:lvl w:ilvl="0" w:tplc="1E54E5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4"/>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num>
  <w:num w:numId="12">
    <w:abstractNumId w:val="0"/>
  </w:num>
  <w:num w:numId="13">
    <w:abstractNumId w:val="22"/>
  </w:num>
  <w:num w:numId="14">
    <w:abstractNumId w:val="7"/>
  </w:num>
  <w:num w:numId="15">
    <w:abstractNumId w:val="20"/>
  </w:num>
  <w:num w:numId="16">
    <w:abstractNumId w:val="8"/>
  </w:num>
  <w:num w:numId="17">
    <w:abstractNumId w:val="24"/>
  </w:num>
  <w:num w:numId="18">
    <w:abstractNumId w:val="11"/>
  </w:num>
  <w:num w:numId="19">
    <w:abstractNumId w:val="6"/>
  </w:num>
  <w:num w:numId="20">
    <w:abstractNumId w:val="5"/>
  </w:num>
  <w:num w:numId="21">
    <w:abstractNumId w:val="16"/>
  </w:num>
  <w:num w:numId="22">
    <w:abstractNumId w:val="1"/>
  </w:num>
  <w:num w:numId="23">
    <w:abstractNumId w:val="18"/>
  </w:num>
  <w:num w:numId="24">
    <w:abstractNumId w:val="10"/>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7265E"/>
    <w:rsid w:val="000B0DAF"/>
    <w:rsid w:val="000C1646"/>
    <w:rsid w:val="000E0E3A"/>
    <w:rsid w:val="000E36EA"/>
    <w:rsid w:val="000E52F3"/>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43C24"/>
    <w:rsid w:val="00253D75"/>
    <w:rsid w:val="00253F20"/>
    <w:rsid w:val="00257956"/>
    <w:rsid w:val="002A5E46"/>
    <w:rsid w:val="002B3969"/>
    <w:rsid w:val="002C1608"/>
    <w:rsid w:val="002D7496"/>
    <w:rsid w:val="00314601"/>
    <w:rsid w:val="003155CD"/>
    <w:rsid w:val="0032666A"/>
    <w:rsid w:val="00330790"/>
    <w:rsid w:val="0038799E"/>
    <w:rsid w:val="003A0195"/>
    <w:rsid w:val="003A76E4"/>
    <w:rsid w:val="003C01AF"/>
    <w:rsid w:val="003E0610"/>
    <w:rsid w:val="00406E53"/>
    <w:rsid w:val="00453B91"/>
    <w:rsid w:val="004A4F88"/>
    <w:rsid w:val="004B5911"/>
    <w:rsid w:val="004C3976"/>
    <w:rsid w:val="004D4F11"/>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D5BC8"/>
    <w:rsid w:val="007F33F3"/>
    <w:rsid w:val="007F53DA"/>
    <w:rsid w:val="00834E94"/>
    <w:rsid w:val="00841378"/>
    <w:rsid w:val="00850AE8"/>
    <w:rsid w:val="008678EC"/>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285D"/>
    <w:rsid w:val="009F7602"/>
    <w:rsid w:val="00A31B95"/>
    <w:rsid w:val="00A5456F"/>
    <w:rsid w:val="00A60E42"/>
    <w:rsid w:val="00AA2072"/>
    <w:rsid w:val="00AB16A5"/>
    <w:rsid w:val="00AE5064"/>
    <w:rsid w:val="00B324FA"/>
    <w:rsid w:val="00B36248"/>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6FF34C0B"/>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2022-10-18T11:12:00Z</dcterms:created>
  <dcterms:modified xsi:type="dcterms:W3CDTF">2022-10-18T11:12:00Z</dcterms:modified>
</cp:coreProperties>
</file>