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7F33F3" w:rsidRPr="00380EE0" w:rsidRDefault="00380EE0" w:rsidP="00380EE0">
      <w:pPr>
        <w:pStyle w:val="NormalWeb"/>
        <w:spacing w:line="276" w:lineRule="auto"/>
        <w:jc w:val="center"/>
        <w:rPr>
          <w:rFonts w:ascii="Book Antiqua" w:hAnsi="Book Antiqua"/>
          <w:b/>
          <w:bCs/>
          <w:sz w:val="22"/>
          <w:szCs w:val="22"/>
        </w:rPr>
      </w:pPr>
      <w:r w:rsidRPr="0025029C">
        <w:rPr>
          <w:rFonts w:ascii="Book Antiqua" w:hAnsi="Book Antiqua"/>
          <w:b/>
          <w:bCs/>
          <w:sz w:val="22"/>
          <w:szCs w:val="22"/>
        </w:rPr>
        <w:t>Abid Hussain, Executive Director/ Head of Department</w:t>
      </w:r>
    </w:p>
    <w:p w:rsidR="007D5BC8" w:rsidRPr="003E0610" w:rsidRDefault="007D5BC8" w:rsidP="007D5BC8">
      <w:pPr>
        <w:jc w:val="center"/>
        <w:rPr>
          <w:rFonts w:ascii="Book Antiqua" w:hAnsi="Book Antiqua" w:cs="Times New Roman"/>
          <w:b/>
          <w:bCs/>
          <w:sz w:val="22"/>
          <w:szCs w:val="22"/>
          <w:u w:val="single"/>
        </w:rPr>
      </w:pPr>
    </w:p>
    <w:p w:rsidR="00380EE0" w:rsidRPr="00A632CD" w:rsidRDefault="007F33F3" w:rsidP="00380EE0">
      <w:pPr>
        <w:tabs>
          <w:tab w:val="left" w:pos="1080"/>
        </w:tabs>
        <w:spacing w:line="276" w:lineRule="auto"/>
        <w:jc w:val="center"/>
        <w:rPr>
          <w:rFonts w:ascii="Book Antiqua" w:hAnsi="Book Antiqua"/>
          <w:b/>
          <w:sz w:val="22"/>
          <w:szCs w:val="22"/>
          <w:u w:val="single"/>
        </w:rPr>
      </w:pPr>
      <w:r w:rsidRPr="003E0610">
        <w:rPr>
          <w:rFonts w:ascii="Book Antiqua" w:hAnsi="Book Antiqua"/>
          <w:b/>
          <w:bCs/>
          <w:sz w:val="22"/>
          <w:szCs w:val="22"/>
          <w:u w:val="single"/>
        </w:rPr>
        <w:t>In the matter of</w:t>
      </w:r>
      <w:r w:rsidR="0088646B" w:rsidRPr="003E0610">
        <w:rPr>
          <w:rFonts w:ascii="Book Antiqua" w:hAnsi="Book Antiqua"/>
          <w:b/>
          <w:bCs/>
          <w:sz w:val="22"/>
          <w:szCs w:val="22"/>
          <w:u w:val="single"/>
        </w:rPr>
        <w:t xml:space="preserve"> Show Cause Notice issued to</w:t>
      </w:r>
      <w:r w:rsidR="00F6183A" w:rsidRPr="003E0610">
        <w:rPr>
          <w:rFonts w:ascii="Book Antiqua" w:hAnsi="Book Antiqua"/>
          <w:b/>
          <w:bCs/>
          <w:sz w:val="22"/>
          <w:szCs w:val="22"/>
          <w:u w:val="single"/>
        </w:rPr>
        <w:t xml:space="preserve"> </w:t>
      </w:r>
      <w:r w:rsidR="00380EE0" w:rsidRPr="00A632CD">
        <w:rPr>
          <w:rFonts w:ascii="Book Antiqua" w:hAnsi="Book Antiqua"/>
          <w:b/>
          <w:sz w:val="22"/>
          <w:szCs w:val="22"/>
          <w:u w:val="single"/>
        </w:rPr>
        <w:t>Pervez Ahmed Consultancy Services L</w:t>
      </w:r>
      <w:r w:rsidR="00380EE0">
        <w:rPr>
          <w:rFonts w:ascii="Book Antiqua" w:hAnsi="Book Antiqua"/>
          <w:b/>
          <w:sz w:val="22"/>
          <w:szCs w:val="22"/>
          <w:u w:val="single"/>
        </w:rPr>
        <w:t>td</w:t>
      </w:r>
    </w:p>
    <w:p w:rsidR="00192BA5" w:rsidRPr="007D5BC8" w:rsidRDefault="00192BA5" w:rsidP="007D5BC8">
      <w:pPr>
        <w:pStyle w:val="NormalWeb"/>
        <w:spacing w:line="360" w:lineRule="auto"/>
        <w:jc w:val="center"/>
        <w:rPr>
          <w:rFonts w:ascii="Book Antiqua" w:hAnsi="Book Antiqua"/>
          <w:b/>
          <w:bCs/>
          <w:sz w:val="22"/>
          <w:szCs w:val="22"/>
          <w:u w:val="single"/>
        </w:rPr>
      </w:pPr>
    </w:p>
    <w:p w:rsidR="007F33F3" w:rsidRPr="003E0610"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380EE0" w:rsidP="00380EE0">
            <w:pPr>
              <w:pStyle w:val="NormalWeb"/>
              <w:spacing w:line="276" w:lineRule="auto"/>
              <w:ind w:right="-866"/>
              <w:jc w:val="both"/>
              <w:rPr>
                <w:rFonts w:ascii="Book Antiqua" w:hAnsi="Book Antiqua"/>
                <w:sz w:val="22"/>
                <w:szCs w:val="22"/>
              </w:rPr>
            </w:pPr>
            <w:r w:rsidRPr="0025029C">
              <w:rPr>
                <w:rFonts w:ascii="Book Antiqua" w:hAnsi="Book Antiqua"/>
                <w:sz w:val="22"/>
                <w:szCs w:val="22"/>
              </w:rPr>
              <w:t>May 21, 2022</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380EE0">
        <w:rPr>
          <w:rFonts w:ascii="Book Antiqua" w:hAnsi="Book Antiqua" w:cs="Times New Roman"/>
          <w:sz w:val="22"/>
          <w:szCs w:val="22"/>
        </w:rPr>
        <w:t>September 23</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 xml:space="preserve">was passed by </w:t>
      </w:r>
      <w:r w:rsidR="00380EE0">
        <w:rPr>
          <w:rFonts w:ascii="Book Antiqua" w:hAnsi="Book Antiqua" w:cs="Times New Roman"/>
          <w:sz w:val="22"/>
          <w:szCs w:val="22"/>
        </w:rPr>
        <w:t xml:space="preserve">Executive </w:t>
      </w:r>
      <w:r w:rsidR="007F33F3" w:rsidRPr="003E0610">
        <w:rPr>
          <w:rFonts w:ascii="Book Antiqua" w:hAnsi="Book Antiqua" w:cs="Times New Roman"/>
          <w:sz w:val="22"/>
          <w:szCs w:val="22"/>
        </w:rPr>
        <w:t>Director/Head of Department (Adjudication-I) in the matter of</w:t>
      </w:r>
      <w:r w:rsidR="009043D6" w:rsidRPr="003E0610">
        <w:rPr>
          <w:rFonts w:ascii="Book Antiqua" w:hAnsi="Book Antiqua" w:cs="Times New Roman"/>
          <w:sz w:val="22"/>
          <w:szCs w:val="22"/>
        </w:rPr>
        <w:t xml:space="preserve"> </w:t>
      </w:r>
      <w:r w:rsidR="00380EE0" w:rsidRPr="0025029C">
        <w:rPr>
          <w:rFonts w:ascii="Book Antiqua" w:hAnsi="Book Antiqua"/>
          <w:sz w:val="22"/>
          <w:szCs w:val="22"/>
        </w:rPr>
        <w:t>Pervez Ahmed Consultancy Services Limited</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380EE0" w:rsidRPr="0025029C">
              <w:rPr>
                <w:rFonts w:ascii="Book Antiqua" w:hAnsi="Book Antiqua"/>
                <w:sz w:val="22"/>
                <w:szCs w:val="22"/>
              </w:rPr>
              <w:t>May 21, 2022</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380EE0" w:rsidP="00991511">
            <w:pPr>
              <w:jc w:val="both"/>
              <w:rPr>
                <w:rFonts w:ascii="Book Antiqua" w:hAnsi="Book Antiqua" w:cs="Times New Roman"/>
                <w:sz w:val="22"/>
                <w:szCs w:val="22"/>
              </w:rPr>
            </w:pPr>
            <w:r w:rsidRPr="0025029C">
              <w:rPr>
                <w:rFonts w:ascii="Book Antiqua" w:hAnsi="Book Antiqua"/>
                <w:sz w:val="22"/>
                <w:szCs w:val="22"/>
              </w:rPr>
              <w:t>Pervez Ahmed Consultancy Services 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Individua</w:t>
            </w:r>
            <w:r w:rsidR="000D1822">
              <w:rPr>
                <w:rFonts w:ascii="Book Antiqua" w:hAnsi="Book Antiqua" w:cs="Times New Roman"/>
                <w:sz w:val="22"/>
                <w:szCs w:val="22"/>
              </w:rPr>
              <w:t>l</w:t>
            </w:r>
            <w:r w:rsidRPr="003E0610">
              <w:rPr>
                <w:rFonts w:ascii="Book Antiqua" w:hAnsi="Book Antiqua" w:cs="Times New Roman"/>
                <w:sz w:val="22"/>
                <w:szCs w:val="22"/>
              </w:rPr>
              <w:t xml:space="preserve"> </w:t>
            </w:r>
          </w:p>
        </w:tc>
        <w:tc>
          <w:tcPr>
            <w:tcW w:w="6660" w:type="dxa"/>
          </w:tcPr>
          <w:p w:rsidR="00FD6E1D" w:rsidRPr="003E0610" w:rsidRDefault="00FD6E1D" w:rsidP="00FD6E1D">
            <w:pPr>
              <w:jc w:val="both"/>
              <w:rPr>
                <w:rFonts w:ascii="Book Antiqua" w:hAnsi="Book Antiqua" w:cs="Times New Roman"/>
                <w:sz w:val="22"/>
                <w:szCs w:val="22"/>
              </w:rPr>
            </w:pPr>
            <w:r w:rsidRPr="003E0610">
              <w:rPr>
                <w:rFonts w:ascii="Book Antiqua" w:hAnsi="Book Antiqua" w:cs="Times New Roman"/>
                <w:sz w:val="22"/>
                <w:szCs w:val="22"/>
              </w:rPr>
              <w:t xml:space="preserve">The proceedings were initiated against </w:t>
            </w:r>
            <w:r w:rsidR="007D5BC8">
              <w:rPr>
                <w:rFonts w:ascii="Book Antiqua" w:hAnsi="Book Antiqua" w:cs="Times New Roman"/>
                <w:sz w:val="22"/>
                <w:szCs w:val="22"/>
              </w:rPr>
              <w:t xml:space="preserve">the </w:t>
            </w:r>
            <w:r w:rsidR="00380EE0">
              <w:rPr>
                <w:rFonts w:ascii="Book Antiqua" w:hAnsi="Book Antiqua" w:cs="Times New Roman"/>
                <w:sz w:val="22"/>
                <w:szCs w:val="22"/>
              </w:rPr>
              <w:t xml:space="preserve">Company’s </w:t>
            </w:r>
            <w:r w:rsidR="00834E94" w:rsidRPr="003E0610">
              <w:rPr>
                <w:rFonts w:ascii="Book Antiqua" w:hAnsi="Book Antiqua" w:cs="Times New Roman"/>
                <w:sz w:val="22"/>
                <w:szCs w:val="22"/>
              </w:rPr>
              <w:t>board of directors</w:t>
            </w:r>
            <w:r w:rsidR="007D5BC8">
              <w:rPr>
                <w:rFonts w:ascii="Book Antiqua" w:hAnsi="Book Antiqua" w:cs="Times New Roman"/>
                <w:sz w:val="22"/>
                <w:szCs w:val="22"/>
              </w:rPr>
              <w:t>.</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7D5BC8"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380EE0" w:rsidRPr="0025029C">
              <w:rPr>
                <w:rFonts w:ascii="Book Antiqua" w:hAnsi="Book Antiqua"/>
                <w:sz w:val="22"/>
                <w:szCs w:val="22"/>
              </w:rPr>
              <w:t>Section 155 of the Companies Act, 2017 (</w:t>
            </w:r>
            <w:r w:rsidR="00380EE0" w:rsidRPr="0025029C">
              <w:rPr>
                <w:rFonts w:ascii="Book Antiqua" w:hAnsi="Book Antiqua"/>
                <w:b/>
                <w:sz w:val="22"/>
                <w:szCs w:val="22"/>
              </w:rPr>
              <w:t>the Act</w:t>
            </w:r>
            <w:r w:rsidR="00380EE0" w:rsidRPr="0025029C">
              <w:rPr>
                <w:rFonts w:ascii="Book Antiqua" w:hAnsi="Book Antiqua"/>
                <w:sz w:val="22"/>
                <w:szCs w:val="22"/>
              </w:rPr>
              <w:t>) read with Sections 169 and 479 thereof</w:t>
            </w:r>
            <w:r w:rsidR="00380EE0" w:rsidRPr="003E0610">
              <w:rPr>
                <w:rFonts w:ascii="Book Antiqua" w:hAnsi="Book Antiqua"/>
                <w:sz w:val="22"/>
                <w:szCs w:val="22"/>
              </w:rPr>
              <w:t xml:space="preserve"> </w:t>
            </w:r>
          </w:p>
          <w:p w:rsidR="00380EE0" w:rsidRPr="003E0610" w:rsidRDefault="00380EE0" w:rsidP="003E0610">
            <w:pPr>
              <w:jc w:val="both"/>
              <w:rPr>
                <w:rFonts w:ascii="Book Antiqua" w:hAnsi="Book Antiqua"/>
                <w:sz w:val="22"/>
                <w:szCs w:val="22"/>
              </w:rPr>
            </w:pPr>
          </w:p>
          <w:p w:rsidR="003E0610" w:rsidRPr="003E0610" w:rsidRDefault="00380EE0" w:rsidP="00380EE0">
            <w:pPr>
              <w:jc w:val="both"/>
              <w:rPr>
                <w:rFonts w:ascii="Book Antiqua" w:hAnsi="Book Antiqua" w:cs="Times New Roman"/>
                <w:sz w:val="22"/>
                <w:szCs w:val="22"/>
              </w:rPr>
            </w:pPr>
            <w:r w:rsidRPr="00380EE0">
              <w:rPr>
                <w:rFonts w:ascii="Book Antiqua" w:hAnsi="Book Antiqua" w:cs="Times New Roman"/>
                <w:sz w:val="22"/>
                <w:szCs w:val="22"/>
              </w:rPr>
              <w:t xml:space="preserve">Brief facts of the case are that the Company issued Notice of Annual General Meeting (AGM) dated October 05, 2021 (the Notice) scheduled for October 28, 2021. Election of directors was one of the items of the AGM as stated in the Notice. The number of directors was fixed as seven (7)  and the seven (7) retiring directors filed their consent and offered themselves as contesters for the aforesaid election. However, the AGM scheduled for October 28, 2021 was adjourned due to lack of quorum and subsequently, AGM was held on November 04, 2021. The retiring directors, except Mr. </w:t>
            </w:r>
            <w:r w:rsidR="000D1822">
              <w:rPr>
                <w:rFonts w:ascii="Book Antiqua" w:hAnsi="Book Antiqua" w:cs="Times New Roman"/>
                <w:sz w:val="22"/>
                <w:szCs w:val="22"/>
              </w:rPr>
              <w:t>*****</w:t>
            </w:r>
            <w:r w:rsidRPr="00380EE0">
              <w:rPr>
                <w:rFonts w:ascii="Book Antiqua" w:hAnsi="Book Antiqua" w:cs="Times New Roman"/>
                <w:sz w:val="22"/>
                <w:szCs w:val="22"/>
              </w:rPr>
              <w:t xml:space="preserve">, were deemed elected in the AGM held on November 04, 2021. Further, owing to the demise of Mr. </w:t>
            </w:r>
            <w:r w:rsidR="000D1822">
              <w:rPr>
                <w:rFonts w:ascii="Book Antiqua" w:hAnsi="Book Antiqua" w:cs="Times New Roman"/>
                <w:sz w:val="22"/>
                <w:szCs w:val="22"/>
              </w:rPr>
              <w:t>*****</w:t>
            </w:r>
            <w:r w:rsidRPr="00380EE0">
              <w:rPr>
                <w:rFonts w:ascii="Book Antiqua" w:hAnsi="Book Antiqua" w:cs="Times New Roman"/>
                <w:sz w:val="22"/>
                <w:szCs w:val="22"/>
              </w:rPr>
              <w:t xml:space="preserve"> on October 29, 2021, position of one (1) director could not be filled and so casual vacancy was created with effect from November 04, 2021. The Respondents were required to fill the casual vacancy within ninety (90) days i.e. by February 02, 2022. The Securities and Exchange Commission of Pakistan (the Commission) vide letter dated March 14, 2022 sought status of compliance with </w:t>
            </w:r>
            <w:r w:rsidRPr="00380EE0">
              <w:rPr>
                <w:rFonts w:ascii="Book Antiqua" w:hAnsi="Book Antiqua" w:cs="Times New Roman"/>
                <w:sz w:val="22"/>
                <w:szCs w:val="22"/>
              </w:rPr>
              <w:lastRenderedPageBreak/>
              <w:t xml:space="preserve">requirements of section 159 of the Act and number of directors elected in the aforesaid AGM. The Company vide letter dated March 19, 2022 stated that six (6) retiring directors were elected instead of seven (7) due to demise of Mr. </w:t>
            </w:r>
            <w:r w:rsidR="000D1822">
              <w:rPr>
                <w:rFonts w:ascii="Book Antiqua" w:hAnsi="Book Antiqua" w:cs="Times New Roman"/>
                <w:sz w:val="22"/>
                <w:szCs w:val="22"/>
              </w:rPr>
              <w:t>*****</w:t>
            </w:r>
            <w:r w:rsidRPr="00380EE0">
              <w:rPr>
                <w:rFonts w:ascii="Book Antiqua" w:hAnsi="Book Antiqua" w:cs="Times New Roman"/>
                <w:sz w:val="22"/>
                <w:szCs w:val="22"/>
              </w:rPr>
              <w:t>. Further, review of the financial statements of the Company for the quarter ended March 31, 2022 transpired that the casual vacancy created was not filled as names of only six directors on the board of the Company were disclosed therein.</w:t>
            </w:r>
          </w:p>
        </w:tc>
      </w:tr>
      <w:tr w:rsidR="00FD6E1D" w:rsidRPr="003E0610" w:rsidTr="00991511">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380EE0" w:rsidRDefault="00380EE0" w:rsidP="00380EE0">
            <w:pPr>
              <w:pStyle w:val="ListParagraph"/>
              <w:widowControl w:val="0"/>
              <w:autoSpaceDE w:val="0"/>
              <w:autoSpaceDN w:val="0"/>
              <w:adjustRightInd w:val="0"/>
              <w:spacing w:line="276" w:lineRule="auto"/>
              <w:ind w:left="0" w:right="-45"/>
              <w:jc w:val="both"/>
              <w:rPr>
                <w:rFonts w:ascii="Book Antiqua" w:hAnsi="Book Antiqua"/>
                <w:sz w:val="22"/>
                <w:szCs w:val="22"/>
              </w:rPr>
            </w:pPr>
            <w:r w:rsidRPr="0025029C">
              <w:rPr>
                <w:rFonts w:ascii="Book Antiqua" w:hAnsi="Book Antiqua"/>
                <w:sz w:val="22"/>
                <w:szCs w:val="22"/>
              </w:rPr>
              <w:t xml:space="preserve">I have gone through the facts of case and considered both the written and </w:t>
            </w:r>
            <w:r>
              <w:rPr>
                <w:rFonts w:ascii="Book Antiqua" w:hAnsi="Book Antiqua"/>
                <w:sz w:val="22"/>
                <w:szCs w:val="22"/>
              </w:rPr>
              <w:t xml:space="preserve">verbal </w:t>
            </w:r>
            <w:r w:rsidRPr="0025029C">
              <w:rPr>
                <w:rFonts w:ascii="Book Antiqua" w:hAnsi="Book Antiqua"/>
                <w:sz w:val="22"/>
                <w:szCs w:val="22"/>
              </w:rPr>
              <w:t xml:space="preserve">submissions of the Respondents in light of the aforementioned legal provisions and record placed before me and state that </w:t>
            </w:r>
            <w:r>
              <w:rPr>
                <w:rFonts w:ascii="Book Antiqua" w:hAnsi="Book Antiqua"/>
                <w:sz w:val="22"/>
                <w:szCs w:val="22"/>
              </w:rPr>
              <w:t xml:space="preserve">as per the available record there was a casual vacancy as of November 4, 2021 and was required to be filled within ninety days i.e.  February 02, 2022 and that it is mandatory for listed companies to have at least seven (7) directors on board to ensure compliance with section 154 of the Act. However, the Company filled in the casual vacancy with a delay of one hundred and thirty eight (138) days on June 21, 2022. </w:t>
            </w:r>
            <w:r w:rsidRPr="0025029C">
              <w:rPr>
                <w:rFonts w:ascii="Book Antiqua" w:hAnsi="Book Antiqua"/>
                <w:sz w:val="22"/>
                <w:szCs w:val="22"/>
              </w:rPr>
              <w:t>The Respondents have acknowledged non-compliance of Section 15</w:t>
            </w:r>
            <w:r>
              <w:rPr>
                <w:rFonts w:ascii="Book Antiqua" w:hAnsi="Book Antiqua"/>
                <w:sz w:val="22"/>
                <w:szCs w:val="22"/>
              </w:rPr>
              <w:t>5</w:t>
            </w:r>
            <w:r w:rsidRPr="0025029C">
              <w:rPr>
                <w:rFonts w:ascii="Book Antiqua" w:hAnsi="Book Antiqua"/>
                <w:sz w:val="22"/>
                <w:szCs w:val="22"/>
              </w:rPr>
              <w:t xml:space="preserve"> of the Act </w:t>
            </w:r>
            <w:r>
              <w:rPr>
                <w:rFonts w:ascii="Book Antiqua" w:hAnsi="Book Antiqua"/>
                <w:sz w:val="22"/>
                <w:szCs w:val="22"/>
              </w:rPr>
              <w:t xml:space="preserve">with a plea that due to death of Mr. </w:t>
            </w:r>
            <w:r w:rsidR="000D1822">
              <w:rPr>
                <w:rFonts w:ascii="Book Antiqua" w:hAnsi="Book Antiqua"/>
                <w:sz w:val="22"/>
                <w:szCs w:val="22"/>
              </w:rPr>
              <w:t>*****</w:t>
            </w:r>
            <w:r>
              <w:rPr>
                <w:rFonts w:ascii="Book Antiqua" w:hAnsi="Book Antiqua"/>
                <w:sz w:val="22"/>
                <w:szCs w:val="22"/>
              </w:rPr>
              <w:t xml:space="preserve"> this situation was beyond our control and therefore lenient view in the matter may be taken.</w:t>
            </w:r>
            <w:r w:rsidRPr="0025029C">
              <w:rPr>
                <w:rFonts w:ascii="Book Antiqua" w:hAnsi="Book Antiqua"/>
                <w:sz w:val="22"/>
                <w:szCs w:val="22"/>
              </w:rPr>
              <w:t xml:space="preserve"> </w:t>
            </w:r>
          </w:p>
          <w:p w:rsidR="00380EE0" w:rsidRDefault="00380EE0" w:rsidP="00380EE0">
            <w:pPr>
              <w:pStyle w:val="ListParagraph"/>
              <w:widowControl w:val="0"/>
              <w:autoSpaceDE w:val="0"/>
              <w:autoSpaceDN w:val="0"/>
              <w:adjustRightInd w:val="0"/>
              <w:spacing w:line="276" w:lineRule="auto"/>
              <w:ind w:left="0" w:right="-45"/>
              <w:jc w:val="both"/>
              <w:rPr>
                <w:rFonts w:ascii="Book Antiqua" w:hAnsi="Book Antiqua"/>
                <w:sz w:val="22"/>
                <w:szCs w:val="22"/>
              </w:rPr>
            </w:pPr>
          </w:p>
          <w:p w:rsidR="00380EE0" w:rsidRPr="0025029C" w:rsidRDefault="00380EE0" w:rsidP="00380EE0">
            <w:pPr>
              <w:pStyle w:val="ListParagraph"/>
              <w:widowControl w:val="0"/>
              <w:autoSpaceDE w:val="0"/>
              <w:autoSpaceDN w:val="0"/>
              <w:adjustRightInd w:val="0"/>
              <w:spacing w:line="276" w:lineRule="auto"/>
              <w:ind w:left="0" w:right="-45"/>
              <w:jc w:val="both"/>
              <w:rPr>
                <w:rFonts w:ascii="Book Antiqua" w:hAnsi="Book Antiqua"/>
                <w:sz w:val="22"/>
                <w:szCs w:val="22"/>
              </w:rPr>
            </w:pPr>
            <w:r w:rsidRPr="007469B9">
              <w:rPr>
                <w:rFonts w:ascii="Book Antiqua" w:hAnsi="Book Antiqua"/>
                <w:sz w:val="22"/>
                <w:szCs w:val="22"/>
              </w:rPr>
              <w:t xml:space="preserve">It is stated that contravention of </w:t>
            </w:r>
            <w:r>
              <w:rPr>
                <w:rFonts w:ascii="Book Antiqua" w:hAnsi="Book Antiqua"/>
                <w:sz w:val="22"/>
                <w:szCs w:val="22"/>
              </w:rPr>
              <w:t>s</w:t>
            </w:r>
            <w:r w:rsidRPr="007469B9">
              <w:rPr>
                <w:rFonts w:ascii="Book Antiqua" w:hAnsi="Book Antiqua"/>
                <w:sz w:val="22"/>
                <w:szCs w:val="22"/>
              </w:rPr>
              <w:t>ection 1</w:t>
            </w:r>
            <w:r>
              <w:rPr>
                <w:rFonts w:ascii="Book Antiqua" w:hAnsi="Book Antiqua"/>
                <w:sz w:val="22"/>
                <w:szCs w:val="22"/>
              </w:rPr>
              <w:t>55</w:t>
            </w:r>
            <w:r w:rsidRPr="007469B9">
              <w:rPr>
                <w:rFonts w:ascii="Book Antiqua" w:hAnsi="Book Antiqua"/>
                <w:sz w:val="22"/>
                <w:szCs w:val="22"/>
              </w:rPr>
              <w:t xml:space="preserve"> of the Act, at the relevant point of time, has been established and same has been admitted by the Respondents as well. </w:t>
            </w:r>
            <w:r w:rsidRPr="007469B9">
              <w:rPr>
                <w:rFonts w:ascii="Book Antiqua" w:hAnsi="Book Antiqua"/>
                <w:color w:val="000000" w:themeColor="text1"/>
                <w:sz w:val="22"/>
                <w:szCs w:val="22"/>
              </w:rPr>
              <w:t xml:space="preserve">However, keeping in view </w:t>
            </w:r>
            <w:r>
              <w:rPr>
                <w:rFonts w:ascii="Book Antiqua" w:hAnsi="Book Antiqua"/>
                <w:color w:val="000000" w:themeColor="text1"/>
                <w:sz w:val="22"/>
                <w:szCs w:val="22"/>
              </w:rPr>
              <w:t xml:space="preserve">of </w:t>
            </w:r>
            <w:r w:rsidRPr="007469B9">
              <w:rPr>
                <w:rFonts w:ascii="Book Antiqua" w:hAnsi="Book Antiqua"/>
                <w:color w:val="000000" w:themeColor="text1"/>
                <w:sz w:val="22"/>
                <w:szCs w:val="22"/>
              </w:rPr>
              <w:t xml:space="preserve">the </w:t>
            </w:r>
            <w:r>
              <w:rPr>
                <w:rFonts w:ascii="Book Antiqua" w:hAnsi="Book Antiqua"/>
                <w:color w:val="000000" w:themeColor="text1"/>
                <w:sz w:val="22"/>
                <w:szCs w:val="22"/>
              </w:rPr>
              <w:t xml:space="preserve">fact that Mr. </w:t>
            </w:r>
            <w:r w:rsidR="000D1822">
              <w:rPr>
                <w:rFonts w:ascii="Book Antiqua" w:hAnsi="Book Antiqua"/>
                <w:color w:val="000000" w:themeColor="text1"/>
                <w:sz w:val="22"/>
                <w:szCs w:val="22"/>
              </w:rPr>
              <w:t>*****</w:t>
            </w:r>
            <w:bookmarkStart w:id="0" w:name="_GoBack"/>
            <w:bookmarkEnd w:id="0"/>
            <w:r>
              <w:rPr>
                <w:rFonts w:ascii="Book Antiqua" w:hAnsi="Book Antiqua"/>
                <w:color w:val="000000" w:themeColor="text1"/>
                <w:sz w:val="22"/>
                <w:szCs w:val="22"/>
              </w:rPr>
              <w:t xml:space="preserve"> died before the date of election and the </w:t>
            </w:r>
            <w:r w:rsidRPr="007469B9">
              <w:rPr>
                <w:rFonts w:ascii="Book Antiqua" w:hAnsi="Book Antiqua"/>
                <w:color w:val="000000" w:themeColor="text1"/>
                <w:sz w:val="22"/>
                <w:szCs w:val="22"/>
              </w:rPr>
              <w:t>fact that non-compliance has now been ratified</w:t>
            </w:r>
            <w:r>
              <w:rPr>
                <w:rFonts w:ascii="Book Antiqua" w:hAnsi="Book Antiqua"/>
                <w:sz w:val="22"/>
                <w:szCs w:val="22"/>
              </w:rPr>
              <w:t xml:space="preserve">, taking a lenient view, </w:t>
            </w:r>
            <w:r w:rsidRPr="0025029C">
              <w:rPr>
                <w:rFonts w:ascii="Book Antiqua" w:hAnsi="Book Antiqua"/>
                <w:sz w:val="22"/>
                <w:szCs w:val="22"/>
              </w:rPr>
              <w:t xml:space="preserve">I, </w:t>
            </w:r>
            <w:r>
              <w:rPr>
                <w:rFonts w:ascii="Book Antiqua" w:hAnsi="Book Antiqua"/>
                <w:sz w:val="22"/>
                <w:szCs w:val="22"/>
              </w:rPr>
              <w:t xml:space="preserve">hereby close the case with warning to all directors to ensure meticulous compliance of the provisions of the law in future.  </w:t>
            </w:r>
          </w:p>
          <w:p w:rsidR="00380EE0" w:rsidRPr="0025029C" w:rsidRDefault="00380EE0" w:rsidP="00380EE0">
            <w:pPr>
              <w:pStyle w:val="ListParagraph"/>
              <w:widowControl w:val="0"/>
              <w:autoSpaceDE w:val="0"/>
              <w:autoSpaceDN w:val="0"/>
              <w:adjustRightInd w:val="0"/>
              <w:spacing w:line="276" w:lineRule="auto"/>
              <w:ind w:left="0" w:right="-45"/>
              <w:jc w:val="both"/>
              <w:rPr>
                <w:rFonts w:ascii="Book Antiqua" w:hAnsi="Book Antiqua"/>
                <w:sz w:val="22"/>
                <w:szCs w:val="22"/>
              </w:rPr>
            </w:pPr>
          </w:p>
          <w:p w:rsidR="00380EE0" w:rsidRPr="0025029C" w:rsidRDefault="00380EE0" w:rsidP="00380EE0">
            <w:pPr>
              <w:pStyle w:val="ListParagraph"/>
              <w:widowControl w:val="0"/>
              <w:autoSpaceDE w:val="0"/>
              <w:autoSpaceDN w:val="0"/>
              <w:adjustRightInd w:val="0"/>
              <w:spacing w:line="276" w:lineRule="auto"/>
              <w:ind w:left="0" w:right="-45"/>
              <w:jc w:val="both"/>
              <w:rPr>
                <w:rFonts w:ascii="Book Antiqua" w:hAnsi="Book Antiqua"/>
                <w:sz w:val="22"/>
                <w:szCs w:val="22"/>
              </w:rPr>
            </w:pPr>
            <w:r w:rsidRPr="0025029C">
              <w:rPr>
                <w:rFonts w:ascii="Book Antiqua" w:hAnsi="Book Antiqua"/>
                <w:sz w:val="22"/>
                <w:szCs w:val="22"/>
              </w:rPr>
              <w:t>Nothing in this Order may be deemed to prejudice the operation of any provision of the Act providing for imposition of penalties in respect of any default, omission, violation of the Act.</w:t>
            </w:r>
          </w:p>
          <w:p w:rsidR="00213C34" w:rsidRPr="003E0610" w:rsidRDefault="00213C34" w:rsidP="005D1DD2">
            <w:pPr>
              <w:jc w:val="both"/>
              <w:rPr>
                <w:rFonts w:ascii="Book Antiqua" w:hAnsi="Book Antiqua" w:cs="Times New Roman"/>
                <w:sz w:val="22"/>
                <w:szCs w:val="22"/>
              </w:rPr>
            </w:pP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380EE0" w:rsidP="00F604C5">
            <w:pPr>
              <w:rPr>
                <w:rFonts w:ascii="Book Antiqua" w:hAnsi="Book Antiqua" w:cs="Times New Roman"/>
                <w:sz w:val="22"/>
                <w:szCs w:val="22"/>
              </w:rPr>
            </w:pPr>
            <w:r>
              <w:rPr>
                <w:rFonts w:ascii="Book Antiqua" w:hAnsi="Book Antiqua"/>
                <w:b/>
                <w:color w:val="262626" w:themeColor="text1" w:themeTint="D9"/>
                <w:sz w:val="22"/>
                <w:szCs w:val="22"/>
              </w:rPr>
              <w:t>No penalty has been imposed on the respondents</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6D6A98" w:rsidP="00FD6E1D">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83C" w:rsidRDefault="00F5683C" w:rsidP="007F33F3">
      <w:r>
        <w:separator/>
      </w:r>
    </w:p>
  </w:endnote>
  <w:endnote w:type="continuationSeparator" w:id="0">
    <w:p w:rsidR="00F5683C" w:rsidRDefault="00F5683C"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83C" w:rsidRDefault="00F5683C" w:rsidP="007F33F3">
      <w:r>
        <w:separator/>
      </w:r>
    </w:p>
  </w:footnote>
  <w:footnote w:type="continuationSeparator" w:id="0">
    <w:p w:rsidR="00F5683C" w:rsidRDefault="00F5683C"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0CBC2CD2"/>
    <w:multiLevelType w:val="hybridMultilevel"/>
    <w:tmpl w:val="64C0AE9A"/>
    <w:lvl w:ilvl="0" w:tplc="A96AD9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401E6"/>
    <w:multiLevelType w:val="hybridMultilevel"/>
    <w:tmpl w:val="D26C2D28"/>
    <w:lvl w:ilvl="0" w:tplc="23909E18">
      <w:start w:val="2"/>
      <w:numFmt w:val="decimal"/>
      <w:lvlText w:val="%1."/>
      <w:lvlJc w:val="left"/>
      <w:pPr>
        <w:ind w:left="360" w:hanging="360"/>
      </w:pPr>
      <w:rPr>
        <w:rFonts w:hint="default"/>
        <w:b w:val="0"/>
        <w:bCs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A55EF"/>
    <w:multiLevelType w:val="hybridMultilevel"/>
    <w:tmpl w:val="142E95FE"/>
    <w:lvl w:ilvl="0" w:tplc="B1B4EF4E">
      <w:start w:val="14"/>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3"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8423E"/>
    <w:multiLevelType w:val="hybridMultilevel"/>
    <w:tmpl w:val="F6F0F4CC"/>
    <w:lvl w:ilvl="0" w:tplc="03CE2DDE">
      <w:start w:val="1"/>
      <w:numFmt w:val="lowerRoman"/>
      <w:lvlText w:val="(%1)"/>
      <w:lvlJc w:val="left"/>
      <w:pPr>
        <w:ind w:left="1080" w:hanging="720"/>
      </w:pPr>
      <w:rPr>
        <w:rFonts w:ascii="Palatino Linotype" w:eastAsia="Times New Roman" w:hAnsi="Palatino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E7183"/>
    <w:multiLevelType w:val="hybridMultilevel"/>
    <w:tmpl w:val="FA60B65E"/>
    <w:lvl w:ilvl="0" w:tplc="1E54E5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4"/>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0"/>
  </w:num>
  <w:num w:numId="13">
    <w:abstractNumId w:val="20"/>
  </w:num>
  <w:num w:numId="14">
    <w:abstractNumId w:val="7"/>
  </w:num>
  <w:num w:numId="15">
    <w:abstractNumId w:val="18"/>
  </w:num>
  <w:num w:numId="16">
    <w:abstractNumId w:val="8"/>
  </w:num>
  <w:num w:numId="17">
    <w:abstractNumId w:val="22"/>
  </w:num>
  <w:num w:numId="18">
    <w:abstractNumId w:val="11"/>
  </w:num>
  <w:num w:numId="19">
    <w:abstractNumId w:val="6"/>
  </w:num>
  <w:num w:numId="20">
    <w:abstractNumId w:val="5"/>
  </w:num>
  <w:num w:numId="21">
    <w:abstractNumId w:val="14"/>
  </w:num>
  <w:num w:numId="22">
    <w:abstractNumId w:val="1"/>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93BC3"/>
    <w:rsid w:val="000B0DAF"/>
    <w:rsid w:val="000C1646"/>
    <w:rsid w:val="000D1822"/>
    <w:rsid w:val="000E0E3A"/>
    <w:rsid w:val="000E36EA"/>
    <w:rsid w:val="001127B2"/>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32B68"/>
    <w:rsid w:val="00253D75"/>
    <w:rsid w:val="00253F20"/>
    <w:rsid w:val="00257956"/>
    <w:rsid w:val="002A5E46"/>
    <w:rsid w:val="002B3969"/>
    <w:rsid w:val="002C1608"/>
    <w:rsid w:val="002D7496"/>
    <w:rsid w:val="00314601"/>
    <w:rsid w:val="003155CD"/>
    <w:rsid w:val="0032666A"/>
    <w:rsid w:val="00330790"/>
    <w:rsid w:val="00380EE0"/>
    <w:rsid w:val="0038799E"/>
    <w:rsid w:val="003A0195"/>
    <w:rsid w:val="003A76E4"/>
    <w:rsid w:val="003C01AF"/>
    <w:rsid w:val="003E0610"/>
    <w:rsid w:val="00406E53"/>
    <w:rsid w:val="00453B91"/>
    <w:rsid w:val="004A4F88"/>
    <w:rsid w:val="004B5911"/>
    <w:rsid w:val="004C3976"/>
    <w:rsid w:val="00520FB0"/>
    <w:rsid w:val="00541FC8"/>
    <w:rsid w:val="005448BC"/>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A5A94"/>
    <w:rsid w:val="007D5BC8"/>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285D"/>
    <w:rsid w:val="009F7602"/>
    <w:rsid w:val="00A31B95"/>
    <w:rsid w:val="00A5456F"/>
    <w:rsid w:val="00A60E42"/>
    <w:rsid w:val="00AA2072"/>
    <w:rsid w:val="00AB16A5"/>
    <w:rsid w:val="00AE5064"/>
    <w:rsid w:val="00B324FA"/>
    <w:rsid w:val="00B36248"/>
    <w:rsid w:val="00B50B09"/>
    <w:rsid w:val="00B510EB"/>
    <w:rsid w:val="00B63388"/>
    <w:rsid w:val="00B82FE2"/>
    <w:rsid w:val="00BB2C3E"/>
    <w:rsid w:val="00C001ED"/>
    <w:rsid w:val="00C07E00"/>
    <w:rsid w:val="00C1787D"/>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D56E1"/>
    <w:rsid w:val="00E334C5"/>
    <w:rsid w:val="00E9534D"/>
    <w:rsid w:val="00EA577D"/>
    <w:rsid w:val="00ED6926"/>
    <w:rsid w:val="00F421CF"/>
    <w:rsid w:val="00F5683C"/>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1161F601"/>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2022-10-18T11:03:00Z</dcterms:created>
  <dcterms:modified xsi:type="dcterms:W3CDTF">2022-10-18T11:03:00Z</dcterms:modified>
</cp:coreProperties>
</file>