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490CB8">
        <w:rPr>
          <w:rFonts w:ascii="Times New Roman" w:hAnsi="Times New Roman" w:cs="Times New Roman"/>
          <w:b/>
          <w:bCs/>
          <w:sz w:val="22"/>
          <w:szCs w:val="22"/>
          <w:u w:val="single"/>
        </w:rPr>
        <w:t xml:space="preserve">Hamid Textile Mills Limited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A87E01" w:rsidRDefault="00490CB8" w:rsidP="00756682">
            <w:pPr>
              <w:rPr>
                <w:rFonts w:ascii="Times New Roman" w:hAnsi="Times New Roman" w:cs="Times New Roman"/>
                <w:sz w:val="20"/>
                <w:szCs w:val="20"/>
                <w:highlight w:val="yellow"/>
              </w:rPr>
            </w:pPr>
            <w:r w:rsidRPr="00490CB8">
              <w:rPr>
                <w:rFonts w:ascii="Times New Roman" w:hAnsi="Times New Roman" w:cs="Times New Roman"/>
                <w:sz w:val="20"/>
                <w:szCs w:val="20"/>
              </w:rPr>
              <w:t>September 01, 2021, November 17, 2021, December 01,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6C63C9">
        <w:rPr>
          <w:rFonts w:ascii="Times New Roman" w:hAnsi="Times New Roman" w:cs="Times New Roman"/>
          <w:sz w:val="20"/>
          <w:szCs w:val="20"/>
        </w:rPr>
        <w:t xml:space="preserve"> January 18</w:t>
      </w:r>
      <w:r w:rsidR="0091255B" w:rsidRPr="00A87E01">
        <w:rPr>
          <w:rFonts w:ascii="Times New Roman" w:hAnsi="Times New Roman" w:cs="Times New Roman"/>
          <w:sz w:val="20"/>
          <w:szCs w:val="20"/>
        </w:rPr>
        <w:t>, 202</w:t>
      </w:r>
      <w:r w:rsidR="006C63C9">
        <w:rPr>
          <w:rFonts w:ascii="Times New Roman" w:hAnsi="Times New Roman" w:cs="Times New Roman"/>
          <w:sz w:val="20"/>
          <w:szCs w:val="20"/>
        </w:rPr>
        <w:t>2</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w</w:t>
      </w:r>
      <w:r w:rsidR="00D2349E"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r w:rsidR="00490CB8">
        <w:rPr>
          <w:rFonts w:ascii="Times New Roman" w:hAnsi="Times New Roman" w:cs="Times New Roman"/>
          <w:bCs/>
          <w:sz w:val="20"/>
          <w:szCs w:val="20"/>
        </w:rPr>
        <w:t>Hamid Textile Mills Limited</w:t>
      </w:r>
      <w:r w:rsidR="004A445E"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 xml:space="preserve">Show cause notice dated </w:t>
            </w:r>
            <w:r w:rsidR="006C63C9">
              <w:rPr>
                <w:rFonts w:ascii="Times New Roman" w:hAnsi="Times New Roman" w:cs="Times New Roman"/>
                <w:sz w:val="20"/>
                <w:szCs w:val="20"/>
              </w:rPr>
              <w:t>March 15, 2021</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490CB8" w:rsidP="00B96DEA">
            <w:pPr>
              <w:jc w:val="both"/>
              <w:rPr>
                <w:rFonts w:ascii="Times New Roman" w:hAnsi="Times New Roman" w:cs="Times New Roman"/>
                <w:sz w:val="20"/>
                <w:szCs w:val="20"/>
              </w:rPr>
            </w:pPr>
            <w:r>
              <w:rPr>
                <w:rFonts w:ascii="Times New Roman" w:hAnsi="Times New Roman" w:cs="Times New Roman"/>
                <w:bCs/>
                <w:sz w:val="20"/>
                <w:szCs w:val="20"/>
              </w:rPr>
              <w:t>Hamid Textile Mills Limited</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 xml:space="preserve">The proceedings were initiated against </w:t>
            </w:r>
            <w:r w:rsidR="006C63C9">
              <w:rPr>
                <w:rFonts w:ascii="Times New Roman" w:hAnsi="Times New Roman" w:cs="Times New Roman"/>
                <w:sz w:val="20"/>
                <w:szCs w:val="20"/>
              </w:rPr>
              <w:t>Hamid Textile Mills Limited and its directors.</w:t>
            </w:r>
          </w:p>
        </w:tc>
      </w:tr>
      <w:tr w:rsidR="000E41DC" w:rsidRPr="00A87E01" w:rsidTr="006C63C9">
        <w:trPr>
          <w:trHeight w:val="245"/>
        </w:trPr>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tcPr>
          <w:p w:rsidR="000E41DC" w:rsidRDefault="00E17FDB" w:rsidP="00280C6B">
            <w:pPr>
              <w:pStyle w:val="BodyText"/>
              <w:spacing w:after="0"/>
              <w:jc w:val="both"/>
              <w:rPr>
                <w:rFonts w:ascii="Times New Roman" w:hAnsi="Times New Roman" w:cs="Times New Roman"/>
                <w:bCs/>
                <w:sz w:val="20"/>
                <w:szCs w:val="20"/>
              </w:rPr>
            </w:pPr>
            <w:r w:rsidRPr="00A87E01">
              <w:rPr>
                <w:rFonts w:ascii="Times New Roman" w:hAnsi="Times New Roman" w:cs="Times New Roman"/>
                <w:bCs/>
                <w:sz w:val="20"/>
                <w:szCs w:val="20"/>
              </w:rPr>
              <w:t>Under Section</w:t>
            </w:r>
            <w:r w:rsidR="00490CB8">
              <w:rPr>
                <w:rFonts w:ascii="Times New Roman" w:hAnsi="Times New Roman" w:cs="Times New Roman"/>
                <w:bCs/>
                <w:sz w:val="20"/>
                <w:szCs w:val="20"/>
              </w:rPr>
              <w:t>s 2</w:t>
            </w:r>
            <w:r w:rsidR="006C63C9">
              <w:rPr>
                <w:rFonts w:ascii="Times New Roman" w:hAnsi="Times New Roman" w:cs="Times New Roman"/>
                <w:bCs/>
                <w:sz w:val="20"/>
                <w:szCs w:val="20"/>
              </w:rPr>
              <w:t>17 of the Companies Act, 2017 read with Section 217 and 479</w:t>
            </w:r>
            <w:r w:rsidR="00850C1C">
              <w:rPr>
                <w:rFonts w:ascii="Times New Roman" w:hAnsi="Times New Roman" w:cs="Times New Roman"/>
                <w:bCs/>
                <w:sz w:val="20"/>
                <w:szCs w:val="20"/>
              </w:rPr>
              <w:t xml:space="preserve"> thereof.</w:t>
            </w:r>
          </w:p>
          <w:p w:rsidR="00850C1C" w:rsidRPr="00A87E01" w:rsidRDefault="00850C1C" w:rsidP="00756682">
            <w:pPr>
              <w:pStyle w:val="BodyText"/>
              <w:spacing w:after="0"/>
              <w:rPr>
                <w:rFonts w:ascii="Times New Roman" w:hAnsi="Times New Roman" w:cs="Times New Roman"/>
                <w:bCs/>
                <w:sz w:val="20"/>
                <w:szCs w:val="20"/>
              </w:rPr>
            </w:pPr>
          </w:p>
        </w:tc>
      </w:tr>
      <w:tr w:rsidR="000E41DC" w:rsidRPr="00A87E01" w:rsidTr="00ED0C79">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Action</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A87E01">
              <w:rPr>
                <w:rFonts w:ascii="Times New Roman" w:hAnsi="Times New Roman" w:cs="Times New Roman"/>
                <w:sz w:val="20"/>
                <w:szCs w:val="20"/>
              </w:rPr>
              <w:t>Key findings were reported in following manner:</w:t>
            </w:r>
          </w:p>
          <w:p w:rsidR="00977F7F" w:rsidRDefault="00977F7F"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6C63C9" w:rsidRPr="006C63C9" w:rsidRDefault="006C63C9" w:rsidP="006C63C9">
            <w:pPr>
              <w:spacing w:after="371" w:line="276" w:lineRule="auto"/>
              <w:jc w:val="both"/>
              <w:rPr>
                <w:sz w:val="20"/>
                <w:szCs w:val="20"/>
              </w:rPr>
            </w:pPr>
            <w:r w:rsidRPr="006C63C9">
              <w:rPr>
                <w:rFonts w:ascii="Times New Roman" w:hAnsi="Times New Roman" w:cs="Times New Roman"/>
                <w:sz w:val="20"/>
                <w:szCs w:val="20"/>
              </w:rPr>
              <w:t>I have gone through the facts of the case, written submissions and arguments made by the Representative during the hearing proceedings and state that any money received as security or deposit cannot be utilized except in accordance with a contract in writing. The Company has acknowledged that the security deposited by United Textile amounting to Rs. 9.50 million as at June 30, 2020 was utilized by the Company and agreements with United Textile does not explicitly allows utilization unless in case of termination of the said agreement. Taking cognizance of the submissions of the Company and after careful consideration of the facts of the case, I am of the view that the Respondents have contravened requirements of Section 217(1) of the Act and are liable for penalty under Section 219 of the Act. Therefore, I hereby impose penalty of Rs. 25,000 (Rupees Twenty-five thousand only) on the Company. Further, Respondent directors are warned to ensure compliance of law in future.</w:t>
            </w:r>
          </w:p>
          <w:p w:rsidR="00E17FDB" w:rsidRPr="00A87E01" w:rsidRDefault="00E17FDB" w:rsidP="00F92A04">
            <w:pPr>
              <w:pStyle w:val="Default"/>
              <w:rPr>
                <w:rFonts w:ascii="Times New Roman" w:hAnsi="Times New Roman" w:cs="Times New Roman"/>
                <w:sz w:val="20"/>
                <w:szCs w:val="20"/>
              </w:rPr>
            </w:pPr>
          </w:p>
          <w:p w:rsidR="009365B1" w:rsidRPr="009365B1" w:rsidRDefault="00977F7F" w:rsidP="00977F7F">
            <w:pPr>
              <w:spacing w:after="3" w:line="276" w:lineRule="auto"/>
              <w:ind w:right="21"/>
              <w:jc w:val="both"/>
              <w:rPr>
                <w:rFonts w:ascii="Times New Roman" w:hAnsi="Times New Roman" w:cs="Times New Roman"/>
                <w:sz w:val="20"/>
                <w:szCs w:val="20"/>
              </w:rPr>
            </w:pPr>
            <w:r w:rsidRPr="00977F7F">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F92A04" w:rsidP="00F92A04">
            <w:pPr>
              <w:pStyle w:val="Default"/>
              <w:jc w:val="both"/>
              <w:rPr>
                <w:rFonts w:ascii="Times New Roman" w:hAnsi="Times New Roman" w:cs="Times New Roman"/>
                <w:sz w:val="20"/>
                <w:szCs w:val="20"/>
              </w:rPr>
            </w:pPr>
            <w:r w:rsidRPr="00A87E01">
              <w:rPr>
                <w:rFonts w:ascii="Times New Roman" w:hAnsi="Times New Roman" w:cs="Times New Roman"/>
                <w:sz w:val="20"/>
                <w:szCs w:val="20"/>
              </w:rPr>
              <w:t xml:space="preserve">A Penalty of Rs. </w:t>
            </w:r>
            <w:r w:rsidR="006C63C9">
              <w:rPr>
                <w:rFonts w:ascii="Times New Roman" w:hAnsi="Times New Roman" w:cs="Times New Roman"/>
                <w:sz w:val="20"/>
                <w:szCs w:val="20"/>
              </w:rPr>
              <w:t>25</w:t>
            </w:r>
            <w:r w:rsidRPr="00A87E01">
              <w:rPr>
                <w:rFonts w:ascii="Times New Roman" w:hAnsi="Times New Roman" w:cs="Times New Roman"/>
                <w:sz w:val="20"/>
                <w:szCs w:val="20"/>
              </w:rPr>
              <w:t>,</w:t>
            </w:r>
            <w:r w:rsidR="006C63C9">
              <w:rPr>
                <w:rFonts w:ascii="Times New Roman" w:hAnsi="Times New Roman" w:cs="Times New Roman"/>
                <w:sz w:val="20"/>
                <w:szCs w:val="20"/>
              </w:rPr>
              <w:t>000</w:t>
            </w:r>
            <w:r w:rsidRPr="00A87E01">
              <w:rPr>
                <w:rFonts w:ascii="Times New Roman" w:hAnsi="Times New Roman" w:cs="Times New Roman"/>
                <w:sz w:val="20"/>
                <w:szCs w:val="20"/>
              </w:rPr>
              <w:t xml:space="preserve">/- (Rupees </w:t>
            </w:r>
            <w:r w:rsidR="006C63C9" w:rsidRPr="00A87E01">
              <w:rPr>
                <w:rFonts w:ascii="Times New Roman" w:hAnsi="Times New Roman" w:cs="Times New Roman"/>
                <w:sz w:val="20"/>
                <w:szCs w:val="20"/>
              </w:rPr>
              <w:t>T</w:t>
            </w:r>
            <w:r w:rsidR="006C63C9">
              <w:rPr>
                <w:rFonts w:ascii="Times New Roman" w:hAnsi="Times New Roman" w:cs="Times New Roman"/>
                <w:sz w:val="20"/>
                <w:szCs w:val="20"/>
              </w:rPr>
              <w:t>wenty-five</w:t>
            </w:r>
            <w:r w:rsidRPr="00A87E01">
              <w:rPr>
                <w:rFonts w:ascii="Times New Roman" w:hAnsi="Times New Roman" w:cs="Times New Roman"/>
                <w:sz w:val="20"/>
                <w:szCs w:val="20"/>
              </w:rPr>
              <w:t xml:space="preserve"> thousand only) was imposed on the </w:t>
            </w:r>
            <w:r w:rsidR="006C63C9">
              <w:rPr>
                <w:rFonts w:ascii="Times New Roman" w:hAnsi="Times New Roman" w:cs="Times New Roman"/>
                <w:sz w:val="20"/>
                <w:szCs w:val="20"/>
              </w:rPr>
              <w:t>Company.</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B71DC6">
              <w:rPr>
                <w:rFonts w:ascii="Times New Roman" w:hAnsi="Times New Roman" w:cs="Times New Roman"/>
                <w:sz w:val="20"/>
                <w:szCs w:val="20"/>
              </w:rPr>
              <w:t>No Appeal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7E6" w:rsidRDefault="00D757E6" w:rsidP="009F3AF3">
      <w:r>
        <w:separator/>
      </w:r>
    </w:p>
  </w:endnote>
  <w:endnote w:type="continuationSeparator" w:id="0">
    <w:p w:rsidR="00D757E6" w:rsidRDefault="00D757E6"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7E6" w:rsidRDefault="00D757E6" w:rsidP="009F3AF3">
      <w:r>
        <w:separator/>
      </w:r>
    </w:p>
  </w:footnote>
  <w:footnote w:type="continuationSeparator" w:id="0">
    <w:p w:rsidR="00D757E6" w:rsidRDefault="00D757E6"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D757E6"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7" w:name="_Hlk118279826"/>
                    <w:bookmarkStart w:id="8" w:name="_Hlk118279827"/>
                    <w:r>
                      <w:rPr>
                        <w:rFonts w:ascii="Times New Roman" w:hAnsi="Times New Roman" w:cs="Times New Roman"/>
                        <w:b/>
                        <w:color w:val="116C65"/>
                      </w:rPr>
                      <w:t xml:space="preserve">  Adjudication Division</w:t>
                    </w:r>
                    <w:bookmarkEnd w:id="7"/>
                    <w:bookmarkEnd w:id="8"/>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1" w:name="_Hlk118279845"/>
                    <w:bookmarkStart w:id="12" w:name="_Hlk118279846"/>
                    <w:r>
                      <w:rPr>
                        <w:rFonts w:ascii="Times New Roman" w:hAnsi="Times New Roman" w:cs="Times New Roman"/>
                        <w:b/>
                        <w:color w:val="116C65"/>
                      </w:rPr>
                      <w:t>Adjudication Department</w:t>
                    </w:r>
                    <w:bookmarkEnd w:id="11"/>
                    <w:bookmarkEnd w:id="12"/>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5" w:name="_Hlk118279795"/>
                    <w:bookmarkStart w:id="16" w:name="_Hlk118279796"/>
                    <w:r>
                      <w:rPr>
                        <w:rFonts w:ascii="Times New Roman" w:hAnsi="Times New Roman" w:cs="Times New Roman"/>
                        <w:b/>
                        <w:color w:val="116C65"/>
                        <w:sz w:val="34"/>
                      </w:rPr>
                      <w:t xml:space="preserve">     Securities and Exchange Commission of Pakistan</w:t>
                    </w:r>
                    <w:bookmarkEnd w:id="15"/>
                    <w:bookmarkEnd w:id="16"/>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3"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C5724B"/>
    <w:multiLevelType w:val="hybridMultilevel"/>
    <w:tmpl w:val="E1BEF6E4"/>
    <w:lvl w:ilvl="0" w:tplc="37BA4B82">
      <w:start w:val="7"/>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A8754">
      <w:start w:val="1"/>
      <w:numFmt w:val="decimal"/>
      <w:lvlText w:val="(%2)"/>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9E4286">
      <w:start w:val="1"/>
      <w:numFmt w:val="lowerRoman"/>
      <w:lvlText w:val="%3"/>
      <w:lvlJc w:val="left"/>
      <w:pPr>
        <w:ind w:left="1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4266C0">
      <w:start w:val="1"/>
      <w:numFmt w:val="decimal"/>
      <w:lvlText w:val="%4"/>
      <w:lvlJc w:val="left"/>
      <w:pPr>
        <w:ind w:left="2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BE942A">
      <w:start w:val="1"/>
      <w:numFmt w:val="lowerLetter"/>
      <w:lvlText w:val="%5"/>
      <w:lvlJc w:val="left"/>
      <w:pPr>
        <w:ind w:left="2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5CAF0A">
      <w:start w:val="1"/>
      <w:numFmt w:val="lowerRoman"/>
      <w:lvlText w:val="%6"/>
      <w:lvlJc w:val="left"/>
      <w:pPr>
        <w:ind w:left="3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CAFDFE">
      <w:start w:val="1"/>
      <w:numFmt w:val="decimal"/>
      <w:lvlText w:val="%7"/>
      <w:lvlJc w:val="left"/>
      <w:pPr>
        <w:ind w:left="4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4C37C0">
      <w:start w:val="1"/>
      <w:numFmt w:val="lowerLetter"/>
      <w:lvlText w:val="%8"/>
      <w:lvlJc w:val="left"/>
      <w:pPr>
        <w:ind w:left="5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CD682">
      <w:start w:val="1"/>
      <w:numFmt w:val="lowerRoman"/>
      <w:lvlText w:val="%9"/>
      <w:lvlJc w:val="left"/>
      <w:pPr>
        <w:ind w:left="5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3"/>
  </w:num>
  <w:num w:numId="10">
    <w:abstractNumId w:val="36"/>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8"/>
  </w:num>
  <w:num w:numId="19">
    <w:abstractNumId w:val="29"/>
  </w:num>
  <w:num w:numId="20">
    <w:abstractNumId w:val="28"/>
  </w:num>
  <w:num w:numId="21">
    <w:abstractNumId w:val="11"/>
  </w:num>
  <w:num w:numId="22">
    <w:abstractNumId w:val="33"/>
  </w:num>
  <w:num w:numId="23">
    <w:abstractNumId w:val="5"/>
  </w:num>
  <w:num w:numId="24">
    <w:abstractNumId w:val="37"/>
  </w:num>
  <w:num w:numId="25">
    <w:abstractNumId w:val="38"/>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1"/>
  </w:num>
  <w:num w:numId="41">
    <w:abstractNumId w:val="7"/>
  </w:num>
  <w:num w:numId="42">
    <w:abstractNumId w:val="31"/>
  </w:num>
  <w:num w:numId="43">
    <w:abstractNumId w:val="25"/>
  </w:num>
  <w:num w:numId="4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0C6B"/>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0CB8"/>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4502"/>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63C9"/>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0C1C"/>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4A99"/>
    <w:rsid w:val="0090578C"/>
    <w:rsid w:val="00906673"/>
    <w:rsid w:val="00906A44"/>
    <w:rsid w:val="0090759B"/>
    <w:rsid w:val="00910516"/>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65B1"/>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21"/>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7E6"/>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3CF7-6FC5-45A0-91DA-E1444BB3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2022-11-22T11:42:00Z</dcterms:created>
  <dcterms:modified xsi:type="dcterms:W3CDTF">2022-11-22T11:42:00Z</dcterms:modified>
</cp:coreProperties>
</file>