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286F73" w:rsidRPr="00286F73">
        <w:rPr>
          <w:rFonts w:ascii="Times New Roman" w:hAnsi="Times New Roman" w:cs="Times New Roman"/>
          <w:b/>
          <w:bCs/>
          <w:sz w:val="22"/>
          <w:szCs w:val="22"/>
          <w:u w:val="single"/>
        </w:rPr>
        <w:t>Bestway Cement Limited</w:t>
      </w:r>
      <w:r w:rsidR="007B6EE8">
        <w:rPr>
          <w:rFonts w:ascii="Times New Roman" w:hAnsi="Times New Roman" w:cs="Times New Roman"/>
          <w:b/>
          <w:bCs/>
          <w:sz w:val="22"/>
          <w:szCs w:val="22"/>
          <w:u w:val="single"/>
        </w:rPr>
        <w:t xml:space="preserve">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91255B" w:rsidTr="000633B3">
        <w:trPr>
          <w:trHeight w:hRule="exact" w:val="615"/>
        </w:trPr>
        <w:tc>
          <w:tcPr>
            <w:tcW w:w="4717" w:type="dxa"/>
            <w:tcBorders>
              <w:bottom w:val="single" w:sz="4" w:space="0" w:color="auto"/>
            </w:tcBorders>
            <w:vAlign w:val="center"/>
          </w:tcPr>
          <w:p w:rsidR="0019228D" w:rsidRPr="006E1B88" w:rsidRDefault="0019228D" w:rsidP="00686444">
            <w:pPr>
              <w:tabs>
                <w:tab w:val="left" w:pos="9450"/>
              </w:tabs>
              <w:ind w:right="75"/>
              <w:jc w:val="both"/>
              <w:outlineLvl w:val="0"/>
              <w:rPr>
                <w:rFonts w:ascii="Times New Roman" w:hAnsi="Times New Roman" w:cs="Times New Roman"/>
                <w:bCs/>
                <w:sz w:val="20"/>
                <w:szCs w:val="20"/>
              </w:rPr>
            </w:pPr>
            <w:r w:rsidRPr="006E1B88">
              <w:rPr>
                <w:rFonts w:ascii="Times New Roman" w:hAnsi="Times New Roman" w:cs="Times New Roman"/>
                <w:bCs/>
                <w:sz w:val="20"/>
                <w:szCs w:val="20"/>
              </w:rPr>
              <w:t>Date</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of</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Hearing</w:t>
            </w:r>
          </w:p>
        </w:tc>
        <w:tc>
          <w:tcPr>
            <w:tcW w:w="4624" w:type="dxa"/>
            <w:tcBorders>
              <w:bottom w:val="single" w:sz="4" w:space="0" w:color="auto"/>
            </w:tcBorders>
            <w:vAlign w:val="center"/>
          </w:tcPr>
          <w:p w:rsidR="0019228D" w:rsidRPr="007B6EE8" w:rsidRDefault="00286F73" w:rsidP="00756682">
            <w:pPr>
              <w:rPr>
                <w:rFonts w:ascii="Times New Roman" w:hAnsi="Times New Roman" w:cs="Times New Roman"/>
                <w:sz w:val="22"/>
                <w:szCs w:val="22"/>
              </w:rPr>
            </w:pPr>
            <w:r>
              <w:rPr>
                <w:rFonts w:ascii="Times New Roman" w:hAnsi="Times New Roman" w:cs="Times New Roman"/>
                <w:sz w:val="22"/>
                <w:szCs w:val="22"/>
              </w:rPr>
              <w:t>October 06, 2021</w:t>
            </w:r>
          </w:p>
        </w:tc>
      </w:tr>
    </w:tbl>
    <w:p w:rsidR="00376958" w:rsidRPr="0091255B" w:rsidRDefault="00376958" w:rsidP="00686444">
      <w:pPr>
        <w:jc w:val="both"/>
        <w:rPr>
          <w:rFonts w:ascii="Times New Roman" w:hAnsi="Times New Roman" w:cs="Times New Roman"/>
          <w:b/>
          <w:sz w:val="22"/>
          <w:szCs w:val="22"/>
        </w:rPr>
      </w:pPr>
    </w:p>
    <w:p w:rsidR="00472FCF" w:rsidRPr="0091255B" w:rsidRDefault="006F0EAE" w:rsidP="00B96DEA">
      <w:pPr>
        <w:jc w:val="center"/>
        <w:rPr>
          <w:rFonts w:ascii="Times New Roman" w:hAnsi="Times New Roman" w:cs="Times New Roman"/>
          <w:b/>
          <w:sz w:val="22"/>
          <w:szCs w:val="22"/>
        </w:rPr>
      </w:pPr>
      <w:r w:rsidRPr="0091255B">
        <w:rPr>
          <w:rFonts w:ascii="Times New Roman" w:hAnsi="Times New Roman" w:cs="Times New Roman"/>
          <w:b/>
          <w:sz w:val="22"/>
          <w:szCs w:val="22"/>
        </w:rPr>
        <w:t>Order-</w:t>
      </w:r>
      <w:r w:rsidR="00677619" w:rsidRPr="0091255B">
        <w:rPr>
          <w:rFonts w:ascii="Times New Roman" w:hAnsi="Times New Roman" w:cs="Times New Roman"/>
          <w:b/>
          <w:sz w:val="22"/>
          <w:szCs w:val="22"/>
        </w:rPr>
        <w:t>Redacted</w:t>
      </w:r>
      <w:r w:rsidR="00DF01C5" w:rsidRPr="0091255B">
        <w:rPr>
          <w:rFonts w:ascii="Times New Roman" w:hAnsi="Times New Roman" w:cs="Times New Roman"/>
          <w:b/>
          <w:sz w:val="22"/>
          <w:szCs w:val="22"/>
        </w:rPr>
        <w:t xml:space="preserve"> </w:t>
      </w:r>
      <w:r w:rsidR="00677619" w:rsidRPr="0091255B">
        <w:rPr>
          <w:rFonts w:ascii="Times New Roman" w:hAnsi="Times New Roman" w:cs="Times New Roman"/>
          <w:b/>
          <w:sz w:val="22"/>
          <w:szCs w:val="22"/>
        </w:rPr>
        <w:t>Version</w:t>
      </w:r>
    </w:p>
    <w:p w:rsidR="00D23DB7" w:rsidRPr="0091255B" w:rsidRDefault="00D23DB7" w:rsidP="00B96DEA">
      <w:pPr>
        <w:jc w:val="both"/>
        <w:rPr>
          <w:rFonts w:ascii="Times New Roman" w:hAnsi="Times New Roman" w:cs="Times New Roman"/>
          <w:sz w:val="22"/>
          <w:szCs w:val="22"/>
          <w:u w:val="single"/>
        </w:rPr>
      </w:pPr>
    </w:p>
    <w:p w:rsidR="000E41DC" w:rsidRPr="00A97817" w:rsidRDefault="00B71D4D" w:rsidP="00543803">
      <w:pPr>
        <w:tabs>
          <w:tab w:val="left" w:pos="1080"/>
        </w:tabs>
        <w:jc w:val="both"/>
        <w:rPr>
          <w:rFonts w:ascii="Times New Roman" w:hAnsi="Times New Roman" w:cs="Times New Roman"/>
          <w:sz w:val="18"/>
          <w:szCs w:val="18"/>
        </w:rPr>
      </w:pPr>
      <w:r w:rsidRPr="00A97817">
        <w:rPr>
          <w:rFonts w:ascii="Times New Roman" w:hAnsi="Times New Roman" w:cs="Times New Roman"/>
          <w:sz w:val="18"/>
          <w:szCs w:val="18"/>
        </w:rPr>
        <w:t>Order</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dated</w:t>
      </w:r>
      <w:r w:rsidR="00DF01C5" w:rsidRPr="00A97817">
        <w:rPr>
          <w:rFonts w:ascii="Times New Roman" w:hAnsi="Times New Roman" w:cs="Times New Roman"/>
          <w:sz w:val="18"/>
          <w:szCs w:val="18"/>
        </w:rPr>
        <w:t xml:space="preserve"> </w:t>
      </w:r>
      <w:r w:rsidR="00286F73" w:rsidRPr="00286F73">
        <w:rPr>
          <w:rFonts w:ascii="Times New Roman" w:hAnsi="Times New Roman" w:cs="Times New Roman"/>
          <w:sz w:val="18"/>
          <w:szCs w:val="18"/>
        </w:rPr>
        <w:t>November 18</w:t>
      </w:r>
      <w:r w:rsidR="0091255B" w:rsidRPr="00286F73">
        <w:rPr>
          <w:rFonts w:ascii="Times New Roman" w:hAnsi="Times New Roman" w:cs="Times New Roman"/>
          <w:sz w:val="18"/>
          <w:szCs w:val="18"/>
        </w:rPr>
        <w:t>, 202</w:t>
      </w:r>
      <w:r w:rsidR="007832DB" w:rsidRPr="00286F73">
        <w:rPr>
          <w:rFonts w:ascii="Times New Roman" w:hAnsi="Times New Roman" w:cs="Times New Roman"/>
          <w:sz w:val="18"/>
          <w:szCs w:val="18"/>
        </w:rPr>
        <w:t>1</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w</w:t>
      </w:r>
      <w:r w:rsidR="00D2349E" w:rsidRPr="00286F73">
        <w:rPr>
          <w:rFonts w:ascii="Times New Roman" w:hAnsi="Times New Roman" w:cs="Times New Roman"/>
          <w:sz w:val="18"/>
          <w:szCs w:val="18"/>
        </w:rPr>
        <w:t>as</w:t>
      </w:r>
      <w:r w:rsidR="00DF01C5" w:rsidRPr="00286F73">
        <w:rPr>
          <w:rFonts w:ascii="Times New Roman" w:hAnsi="Times New Roman" w:cs="Times New Roman"/>
          <w:sz w:val="18"/>
          <w:szCs w:val="18"/>
        </w:rPr>
        <w:t xml:space="preserve"> </w:t>
      </w:r>
      <w:r w:rsidR="00D2349E" w:rsidRPr="00286F73">
        <w:rPr>
          <w:rFonts w:ascii="Times New Roman" w:hAnsi="Times New Roman" w:cs="Times New Roman"/>
          <w:sz w:val="18"/>
          <w:szCs w:val="18"/>
        </w:rPr>
        <w:t>passed</w:t>
      </w:r>
      <w:r w:rsidR="00DF01C5" w:rsidRPr="00286F73">
        <w:rPr>
          <w:rFonts w:ascii="Times New Roman" w:hAnsi="Times New Roman" w:cs="Times New Roman"/>
          <w:sz w:val="18"/>
          <w:szCs w:val="18"/>
        </w:rPr>
        <w:t xml:space="preserve"> </w:t>
      </w:r>
      <w:r w:rsidR="00D2349E" w:rsidRPr="00286F73">
        <w:rPr>
          <w:rFonts w:ascii="Times New Roman" w:hAnsi="Times New Roman" w:cs="Times New Roman"/>
          <w:sz w:val="18"/>
          <w:szCs w:val="18"/>
        </w:rPr>
        <w:t>by</w:t>
      </w:r>
      <w:r w:rsidR="00DF01C5" w:rsidRPr="00286F73">
        <w:rPr>
          <w:rFonts w:ascii="Times New Roman" w:hAnsi="Times New Roman" w:cs="Times New Roman"/>
          <w:sz w:val="18"/>
          <w:szCs w:val="18"/>
        </w:rPr>
        <w:t xml:space="preserve"> </w:t>
      </w:r>
      <w:r w:rsidR="00D2349E" w:rsidRPr="00286F73">
        <w:rPr>
          <w:rFonts w:ascii="Times New Roman" w:hAnsi="Times New Roman" w:cs="Times New Roman"/>
          <w:sz w:val="18"/>
          <w:szCs w:val="18"/>
        </w:rPr>
        <w:t>Director/Head</w:t>
      </w:r>
      <w:r w:rsidR="00DF01C5" w:rsidRPr="00286F73">
        <w:rPr>
          <w:rFonts w:ascii="Times New Roman" w:hAnsi="Times New Roman" w:cs="Times New Roman"/>
          <w:sz w:val="18"/>
          <w:szCs w:val="18"/>
        </w:rPr>
        <w:t xml:space="preserve"> </w:t>
      </w:r>
      <w:r w:rsidR="00D2349E" w:rsidRPr="00286F73">
        <w:rPr>
          <w:rFonts w:ascii="Times New Roman" w:hAnsi="Times New Roman" w:cs="Times New Roman"/>
          <w:sz w:val="18"/>
          <w:szCs w:val="18"/>
        </w:rPr>
        <w:t>of</w:t>
      </w:r>
      <w:r w:rsidR="00DF01C5" w:rsidRPr="00286F73">
        <w:rPr>
          <w:rFonts w:ascii="Times New Roman" w:hAnsi="Times New Roman" w:cs="Times New Roman"/>
          <w:sz w:val="18"/>
          <w:szCs w:val="18"/>
        </w:rPr>
        <w:t xml:space="preserve"> </w:t>
      </w:r>
      <w:r w:rsidR="00D2349E" w:rsidRPr="00286F73">
        <w:rPr>
          <w:rFonts w:ascii="Times New Roman" w:hAnsi="Times New Roman" w:cs="Times New Roman"/>
          <w:sz w:val="18"/>
          <w:szCs w:val="18"/>
        </w:rPr>
        <w:t>Department</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(Adjudication-I)</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in</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the</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matter</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of</w:t>
      </w:r>
      <w:r w:rsidR="0091255B" w:rsidRPr="00286F73">
        <w:rPr>
          <w:rFonts w:ascii="Times New Roman" w:hAnsi="Times New Roman" w:cs="Times New Roman"/>
          <w:bCs/>
          <w:sz w:val="18"/>
          <w:szCs w:val="18"/>
        </w:rPr>
        <w:t xml:space="preserve"> </w:t>
      </w:r>
      <w:r w:rsidR="00286F73" w:rsidRPr="00286F73">
        <w:rPr>
          <w:rFonts w:ascii="Times New Roman" w:hAnsi="Times New Roman" w:cs="Times New Roman"/>
          <w:bCs/>
          <w:sz w:val="18"/>
          <w:szCs w:val="18"/>
        </w:rPr>
        <w:t>Best way Cement</w:t>
      </w:r>
      <w:r w:rsidR="007832DB" w:rsidRPr="00286F73">
        <w:rPr>
          <w:rFonts w:ascii="Times New Roman" w:hAnsi="Times New Roman" w:cs="Times New Roman"/>
          <w:bCs/>
          <w:sz w:val="18"/>
          <w:szCs w:val="18"/>
        </w:rPr>
        <w:t xml:space="preserve"> </w:t>
      </w:r>
      <w:r w:rsidR="0091255B" w:rsidRPr="00286F73">
        <w:rPr>
          <w:rFonts w:ascii="Times New Roman" w:hAnsi="Times New Roman" w:cs="Times New Roman"/>
          <w:bCs/>
          <w:sz w:val="18"/>
          <w:szCs w:val="18"/>
        </w:rPr>
        <w:t>Limited</w:t>
      </w:r>
      <w:r w:rsidR="004A445E"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Relevant</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details</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are</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given</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as</w:t>
      </w:r>
      <w:r w:rsidR="00DF01C5" w:rsidRPr="00286F73">
        <w:rPr>
          <w:rFonts w:ascii="Times New Roman" w:hAnsi="Times New Roman" w:cs="Times New Roman"/>
          <w:sz w:val="18"/>
          <w:szCs w:val="18"/>
        </w:rPr>
        <w:t xml:space="preserve"> </w:t>
      </w:r>
      <w:r w:rsidR="000E41DC" w:rsidRPr="00286F73">
        <w:rPr>
          <w:rFonts w:ascii="Times New Roman" w:hAnsi="Times New Roman" w:cs="Times New Roman"/>
          <w:sz w:val="18"/>
          <w:szCs w:val="18"/>
        </w:rPr>
        <w:t>hereunder:</w:t>
      </w:r>
    </w:p>
    <w:p w:rsidR="000E41DC" w:rsidRPr="00A97817" w:rsidRDefault="000E41DC" w:rsidP="00B96DEA">
      <w:pPr>
        <w:ind w:firstLine="720"/>
        <w:jc w:val="both"/>
        <w:rPr>
          <w:rFonts w:ascii="Times New Roman" w:hAnsi="Times New Roman" w:cs="Times New Roman"/>
          <w:sz w:val="18"/>
          <w:szCs w:val="18"/>
        </w:rPr>
      </w:pPr>
    </w:p>
    <w:tbl>
      <w:tblPr>
        <w:tblStyle w:val="TableGrid"/>
        <w:tblW w:w="9715" w:type="dxa"/>
        <w:tblLook w:val="04A0" w:firstRow="1" w:lastRow="0" w:firstColumn="1" w:lastColumn="0" w:noHBand="0" w:noVBand="1"/>
      </w:tblPr>
      <w:tblGrid>
        <w:gridCol w:w="2605"/>
        <w:gridCol w:w="7110"/>
      </w:tblGrid>
      <w:tr w:rsidR="000E41DC" w:rsidRPr="00A97817" w:rsidTr="00AE13EE">
        <w:tc>
          <w:tcPr>
            <w:tcW w:w="2605"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Nature</w:t>
            </w:r>
          </w:p>
        </w:tc>
        <w:tc>
          <w:tcPr>
            <w:tcW w:w="7110"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Details</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Date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Action</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FD765C">
            <w:pPr>
              <w:jc w:val="both"/>
              <w:rPr>
                <w:rFonts w:ascii="Times New Roman" w:hAnsi="Times New Roman" w:cs="Times New Roman"/>
                <w:sz w:val="18"/>
                <w:szCs w:val="18"/>
              </w:rPr>
            </w:pPr>
            <w:r w:rsidRPr="00A97817">
              <w:rPr>
                <w:rFonts w:ascii="Times New Roman" w:hAnsi="Times New Roman" w:cs="Times New Roman"/>
                <w:sz w:val="18"/>
                <w:szCs w:val="18"/>
              </w:rPr>
              <w:t xml:space="preserve">Show cause notice </w:t>
            </w:r>
            <w:r w:rsidRPr="00286F73">
              <w:rPr>
                <w:rFonts w:ascii="Times New Roman" w:hAnsi="Times New Roman" w:cs="Times New Roman"/>
                <w:sz w:val="18"/>
                <w:szCs w:val="18"/>
              </w:rPr>
              <w:t xml:space="preserve">dated </w:t>
            </w:r>
            <w:r w:rsidR="00286F73">
              <w:rPr>
                <w:rFonts w:ascii="Times New Roman" w:hAnsi="Times New Roman" w:cs="Times New Roman"/>
                <w:sz w:val="18"/>
                <w:szCs w:val="18"/>
              </w:rPr>
              <w:t xml:space="preserve">February 24, </w:t>
            </w:r>
            <w:r w:rsidR="00B8216B">
              <w:rPr>
                <w:rFonts w:ascii="Times New Roman" w:hAnsi="Times New Roman" w:cs="Times New Roman"/>
                <w:sz w:val="18"/>
                <w:szCs w:val="18"/>
              </w:rPr>
              <w:t>2021</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Company</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286F73" w:rsidP="00B96DEA">
            <w:pPr>
              <w:jc w:val="both"/>
              <w:rPr>
                <w:rFonts w:ascii="Times New Roman" w:hAnsi="Times New Roman" w:cs="Times New Roman"/>
                <w:sz w:val="18"/>
                <w:szCs w:val="18"/>
              </w:rPr>
            </w:pPr>
            <w:r w:rsidRPr="00A8211F">
              <w:rPr>
                <w:rFonts w:ascii="Times New Roman" w:hAnsi="Times New Roman" w:cs="Times New Roman"/>
                <w:sz w:val="18"/>
                <w:szCs w:val="18"/>
              </w:rPr>
              <w:t>Bestway Cement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Individual*</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DF01C5">
            <w:pPr>
              <w:jc w:val="both"/>
              <w:rPr>
                <w:rFonts w:ascii="Times New Roman" w:hAnsi="Times New Roman" w:cs="Times New Roman"/>
                <w:sz w:val="18"/>
                <w:szCs w:val="18"/>
              </w:rPr>
            </w:pPr>
            <w:r w:rsidRPr="00A97817">
              <w:rPr>
                <w:rFonts w:ascii="Times New Roman" w:hAnsi="Times New Roman" w:cs="Times New Roman"/>
                <w:sz w:val="18"/>
                <w:szCs w:val="18"/>
              </w:rPr>
              <w:t xml:space="preserve">The proceedings were initiated against the Company i.e. </w:t>
            </w:r>
            <w:r w:rsidR="00A8211F" w:rsidRPr="00A8211F">
              <w:rPr>
                <w:rFonts w:ascii="Times New Roman" w:hAnsi="Times New Roman" w:cs="Times New Roman"/>
                <w:sz w:val="18"/>
                <w:szCs w:val="18"/>
              </w:rPr>
              <w:t>Bestway Cement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Nature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Offence</w:t>
            </w:r>
          </w:p>
          <w:p w:rsidR="000E41DC" w:rsidRPr="00A97817" w:rsidRDefault="000E41DC" w:rsidP="00D60C49">
            <w:pPr>
              <w:rPr>
                <w:rFonts w:ascii="Times New Roman" w:hAnsi="Times New Roman" w:cs="Times New Roman"/>
                <w:sz w:val="18"/>
                <w:szCs w:val="18"/>
              </w:rPr>
            </w:pPr>
          </w:p>
        </w:tc>
        <w:tc>
          <w:tcPr>
            <w:tcW w:w="7110" w:type="dxa"/>
          </w:tcPr>
          <w:p w:rsidR="000E41DC" w:rsidRPr="00A8211F" w:rsidRDefault="00A8211F" w:rsidP="00756682">
            <w:pPr>
              <w:pStyle w:val="BodyText"/>
              <w:spacing w:after="0"/>
              <w:rPr>
                <w:rFonts w:ascii="Times New Roman" w:hAnsi="Times New Roman" w:cs="Times New Roman"/>
                <w:bCs/>
                <w:sz w:val="18"/>
                <w:szCs w:val="18"/>
              </w:rPr>
            </w:pPr>
            <w:r w:rsidRPr="00A8211F">
              <w:rPr>
                <w:rFonts w:ascii="Times New Roman" w:hAnsi="Times New Roman" w:cs="Times New Roman"/>
                <w:bCs/>
                <w:sz w:val="18"/>
                <w:szCs w:val="18"/>
              </w:rPr>
              <w:t>Under section 218 read with Section 219 and Section 479 of Companies Act, 2017</w:t>
            </w:r>
          </w:p>
        </w:tc>
      </w:tr>
      <w:tr w:rsidR="000E41DC" w:rsidRPr="00A97817" w:rsidTr="00ED0C79">
        <w:tc>
          <w:tcPr>
            <w:tcW w:w="2605" w:type="dxa"/>
            <w:shd w:val="clear" w:color="auto" w:fill="auto"/>
          </w:tcPr>
          <w:p w:rsidR="00CC3C9B" w:rsidRPr="00ED0C79" w:rsidRDefault="00CC3C9B" w:rsidP="00D60C49">
            <w:pPr>
              <w:pStyle w:val="NoSpacing"/>
              <w:numPr>
                <w:ilvl w:val="0"/>
                <w:numId w:val="41"/>
              </w:numPr>
              <w:rPr>
                <w:rFonts w:ascii="Times New Roman" w:hAnsi="Times New Roman" w:cs="Times New Roman"/>
                <w:sz w:val="18"/>
                <w:szCs w:val="18"/>
              </w:rPr>
            </w:pPr>
            <w:r w:rsidRPr="00ED0C79">
              <w:rPr>
                <w:rFonts w:ascii="Times New Roman" w:hAnsi="Times New Roman" w:cs="Times New Roman"/>
                <w:sz w:val="18"/>
                <w:szCs w:val="18"/>
              </w:rPr>
              <w:t>Action</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Taken</w:t>
            </w:r>
          </w:p>
          <w:p w:rsidR="000E41DC" w:rsidRPr="00A97817" w:rsidRDefault="000E41DC" w:rsidP="00D60C49">
            <w:pPr>
              <w:rPr>
                <w:rFonts w:ascii="Times New Roman" w:hAnsi="Times New Roman" w:cs="Times New Roman"/>
                <w:sz w:val="18"/>
                <w:szCs w:val="18"/>
              </w:rPr>
            </w:pPr>
          </w:p>
        </w:tc>
        <w:tc>
          <w:tcPr>
            <w:tcW w:w="7110" w:type="dxa"/>
          </w:tcPr>
          <w:p w:rsidR="00EC42F8" w:rsidRPr="00A97817" w:rsidRDefault="00EC42F8" w:rsidP="00EC42F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Key findings were reported in following manner:</w:t>
            </w:r>
          </w:p>
          <w:p w:rsidR="000C5FC5" w:rsidRPr="00A97817" w:rsidRDefault="000C5FC5" w:rsidP="009D612A">
            <w:pPr>
              <w:pStyle w:val="Bodytext20"/>
              <w:shd w:val="clear" w:color="auto" w:fill="auto"/>
              <w:tabs>
                <w:tab w:val="left" w:pos="771"/>
              </w:tabs>
              <w:spacing w:before="0" w:after="0" w:line="259" w:lineRule="exact"/>
              <w:rPr>
                <w:rFonts w:ascii="Times New Roman" w:hAnsi="Times New Roman" w:cs="Times New Roman"/>
                <w:sz w:val="18"/>
                <w:szCs w:val="18"/>
              </w:rPr>
            </w:pPr>
          </w:p>
          <w:p w:rsidR="0046127E" w:rsidRPr="00A97817" w:rsidRDefault="00EC42F8" w:rsidP="0046127E">
            <w:pPr>
              <w:spacing w:after="391" w:line="348" w:lineRule="auto"/>
              <w:ind w:right="21"/>
              <w:rPr>
                <w:rFonts w:ascii="Times New Roman" w:hAnsi="Times New Roman" w:cs="Times New Roman"/>
                <w:sz w:val="18"/>
                <w:szCs w:val="18"/>
              </w:rPr>
            </w:pPr>
            <w:r w:rsidRPr="00A97817">
              <w:rPr>
                <w:rFonts w:ascii="Times New Roman" w:hAnsi="Times New Roman" w:cs="Times New Roman"/>
                <w:sz w:val="18"/>
                <w:szCs w:val="18"/>
              </w:rPr>
              <w:t xml:space="preserve">I have gone through the facts of the case, relevant provisions of the law and the record placed before me. Based on the aforesaid, it is evident that </w:t>
            </w:r>
            <w:r w:rsidR="00544A45">
              <w:rPr>
                <w:rFonts w:ascii="Times New Roman" w:hAnsi="Times New Roman" w:cs="Times New Roman"/>
                <w:sz w:val="18"/>
                <w:szCs w:val="18"/>
              </w:rPr>
              <w:t>the respondent</w:t>
            </w:r>
            <w:r w:rsidR="002A23D4">
              <w:rPr>
                <w:rFonts w:ascii="Times New Roman" w:hAnsi="Times New Roman" w:cs="Times New Roman"/>
                <w:sz w:val="18"/>
                <w:szCs w:val="18"/>
              </w:rPr>
              <w:t>s</w:t>
            </w:r>
            <w:r w:rsidR="00544A45">
              <w:rPr>
                <w:rFonts w:ascii="Times New Roman" w:hAnsi="Times New Roman" w:cs="Times New Roman"/>
                <w:sz w:val="18"/>
                <w:szCs w:val="18"/>
              </w:rPr>
              <w:t xml:space="preserve"> ha</w:t>
            </w:r>
            <w:r w:rsidR="002A23D4">
              <w:rPr>
                <w:rFonts w:ascii="Times New Roman" w:hAnsi="Times New Roman" w:cs="Times New Roman"/>
                <w:sz w:val="18"/>
                <w:szCs w:val="18"/>
              </w:rPr>
              <w:t>ve</w:t>
            </w:r>
            <w:r w:rsidR="00544A45">
              <w:rPr>
                <w:rFonts w:ascii="Times New Roman" w:hAnsi="Times New Roman" w:cs="Times New Roman"/>
                <w:sz w:val="18"/>
                <w:szCs w:val="18"/>
              </w:rPr>
              <w:t xml:space="preserve"> acknowledge</w:t>
            </w:r>
            <w:r w:rsidR="00AB28C9">
              <w:rPr>
                <w:rFonts w:ascii="Times New Roman" w:hAnsi="Times New Roman" w:cs="Times New Roman"/>
                <w:sz w:val="18"/>
                <w:szCs w:val="18"/>
              </w:rPr>
              <w:t>d</w:t>
            </w:r>
            <w:r w:rsidR="00544A45">
              <w:rPr>
                <w:rFonts w:ascii="Times New Roman" w:hAnsi="Times New Roman" w:cs="Times New Roman"/>
                <w:sz w:val="18"/>
                <w:szCs w:val="18"/>
              </w:rPr>
              <w:t xml:space="preserve"> delays in transferring of transferring its own as well as employee’s contribution to the provident fund. The Company has defaulted in compliance with the requirements of Section 218 of the Act and therefore are liable for penalty under Section 219 and 479 of the Act. Taking cognizance </w:t>
            </w:r>
            <w:r w:rsidR="00ED0C79">
              <w:rPr>
                <w:rFonts w:ascii="Times New Roman" w:hAnsi="Times New Roman" w:cs="Times New Roman"/>
                <w:sz w:val="18"/>
                <w:szCs w:val="18"/>
              </w:rPr>
              <w:t xml:space="preserve">of the submissions by </w:t>
            </w:r>
            <w:r w:rsidR="002A23D4">
              <w:rPr>
                <w:rFonts w:ascii="Times New Roman" w:hAnsi="Times New Roman" w:cs="Times New Roman"/>
                <w:sz w:val="18"/>
                <w:szCs w:val="18"/>
              </w:rPr>
              <w:t>r</w:t>
            </w:r>
            <w:r w:rsidR="00ED0C79">
              <w:rPr>
                <w:rFonts w:ascii="Times New Roman" w:hAnsi="Times New Roman" w:cs="Times New Roman"/>
                <w:sz w:val="18"/>
                <w:szCs w:val="18"/>
              </w:rPr>
              <w:t>espondent</w:t>
            </w:r>
            <w:r w:rsidR="002A23D4">
              <w:rPr>
                <w:rFonts w:ascii="Times New Roman" w:hAnsi="Times New Roman" w:cs="Times New Roman"/>
                <w:sz w:val="18"/>
                <w:szCs w:val="18"/>
              </w:rPr>
              <w:t>s</w:t>
            </w:r>
            <w:r w:rsidR="00B8216B">
              <w:rPr>
                <w:rFonts w:ascii="Times New Roman" w:hAnsi="Times New Roman" w:cs="Times New Roman"/>
                <w:sz w:val="18"/>
                <w:szCs w:val="18"/>
              </w:rPr>
              <w:t>, the proceedings are concluded with a warning to the Respondents</w:t>
            </w:r>
            <w:r w:rsidR="00ED0C79">
              <w:rPr>
                <w:rFonts w:ascii="Times New Roman" w:hAnsi="Times New Roman" w:cs="Times New Roman"/>
                <w:sz w:val="18"/>
                <w:szCs w:val="18"/>
              </w:rPr>
              <w:t xml:space="preserve"> to be cognizant and careful in compliance of legal requirement</w:t>
            </w:r>
            <w:r w:rsidR="002A23D4">
              <w:rPr>
                <w:rFonts w:ascii="Times New Roman" w:hAnsi="Times New Roman" w:cs="Times New Roman"/>
                <w:sz w:val="18"/>
                <w:szCs w:val="18"/>
              </w:rPr>
              <w:t>s</w:t>
            </w:r>
            <w:r w:rsidR="00ED0C79">
              <w:rPr>
                <w:rFonts w:ascii="Times New Roman" w:hAnsi="Times New Roman" w:cs="Times New Roman"/>
                <w:sz w:val="18"/>
                <w:szCs w:val="18"/>
              </w:rPr>
              <w:t>.</w:t>
            </w:r>
          </w:p>
          <w:p w:rsidR="006E1B88" w:rsidRPr="00A97817" w:rsidRDefault="00EC42F8" w:rsidP="006E1B8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Nothing in this Order may be deemed to prejudice the operation of any provision of the Act providing for imposition of penalties in respect of any default, omission or violation of the Ordinance of the Act.</w:t>
            </w:r>
          </w:p>
        </w:tc>
      </w:tr>
      <w:tr w:rsidR="000E41DC" w:rsidRPr="00ED0C79" w:rsidTr="00A874F0">
        <w:tc>
          <w:tcPr>
            <w:tcW w:w="2605" w:type="dxa"/>
            <w:shd w:val="clear" w:color="auto" w:fill="auto"/>
          </w:tcPr>
          <w:p w:rsidR="00CC3C9B" w:rsidRPr="00ED0C79" w:rsidRDefault="00CC3C9B" w:rsidP="00D60C49">
            <w:pPr>
              <w:pStyle w:val="NoSpacing"/>
              <w:numPr>
                <w:ilvl w:val="0"/>
                <w:numId w:val="41"/>
              </w:numPr>
              <w:rPr>
                <w:rFonts w:ascii="Times New Roman" w:hAnsi="Times New Roman" w:cs="Times New Roman"/>
                <w:sz w:val="18"/>
                <w:szCs w:val="18"/>
              </w:rPr>
            </w:pPr>
            <w:r w:rsidRPr="00ED0C79">
              <w:rPr>
                <w:rFonts w:ascii="Times New Roman" w:hAnsi="Times New Roman" w:cs="Times New Roman"/>
                <w:sz w:val="18"/>
                <w:szCs w:val="18"/>
              </w:rPr>
              <w:t>Penalty</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Imposed</w:t>
            </w:r>
          </w:p>
          <w:p w:rsidR="000E41DC" w:rsidRPr="00ED0C79" w:rsidRDefault="000E41DC" w:rsidP="00D60C49">
            <w:pPr>
              <w:rPr>
                <w:rFonts w:ascii="Times New Roman" w:hAnsi="Times New Roman" w:cs="Times New Roman"/>
                <w:sz w:val="18"/>
                <w:szCs w:val="18"/>
              </w:rPr>
            </w:pPr>
          </w:p>
        </w:tc>
        <w:tc>
          <w:tcPr>
            <w:tcW w:w="7110" w:type="dxa"/>
          </w:tcPr>
          <w:p w:rsidR="000E41DC" w:rsidRPr="00ED0C79" w:rsidRDefault="00A874F0" w:rsidP="00BB76F5">
            <w:pPr>
              <w:jc w:val="both"/>
              <w:rPr>
                <w:rFonts w:ascii="Times New Roman" w:hAnsi="Times New Roman" w:cs="Times New Roman"/>
                <w:sz w:val="18"/>
                <w:szCs w:val="18"/>
              </w:rPr>
            </w:pPr>
            <w:r w:rsidRPr="00ED0C79">
              <w:rPr>
                <w:rFonts w:ascii="Times New Roman" w:hAnsi="Times New Roman" w:cs="Times New Roman"/>
                <w:sz w:val="18"/>
                <w:szCs w:val="18"/>
              </w:rPr>
              <w:t>Nil</w:t>
            </w:r>
          </w:p>
        </w:tc>
      </w:tr>
      <w:tr w:rsidR="000E41DC" w:rsidRPr="00A97817" w:rsidTr="00A874F0">
        <w:tc>
          <w:tcPr>
            <w:tcW w:w="2605" w:type="dxa"/>
            <w:shd w:val="clear" w:color="auto" w:fill="auto"/>
          </w:tcPr>
          <w:p w:rsidR="000E41DC" w:rsidRPr="00ED0C79" w:rsidRDefault="00CC3C9B" w:rsidP="00D60C49">
            <w:pPr>
              <w:pStyle w:val="ListParagraph"/>
              <w:numPr>
                <w:ilvl w:val="0"/>
                <w:numId w:val="41"/>
              </w:numPr>
              <w:rPr>
                <w:rFonts w:ascii="Times New Roman" w:hAnsi="Times New Roman" w:cs="Times New Roman"/>
                <w:sz w:val="18"/>
                <w:szCs w:val="18"/>
              </w:rPr>
            </w:pPr>
            <w:r w:rsidRPr="00ED0C79">
              <w:rPr>
                <w:rFonts w:ascii="Times New Roman" w:hAnsi="Times New Roman" w:cs="Times New Roman"/>
                <w:sz w:val="18"/>
                <w:szCs w:val="18"/>
              </w:rPr>
              <w:t>Current</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Status</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of</w:t>
            </w:r>
            <w:r w:rsidR="00DF01C5" w:rsidRPr="00ED0C79">
              <w:rPr>
                <w:rFonts w:ascii="Times New Roman" w:hAnsi="Times New Roman" w:cs="Times New Roman"/>
                <w:sz w:val="18"/>
                <w:szCs w:val="18"/>
              </w:rPr>
              <w:t xml:space="preserve"> </w:t>
            </w:r>
            <w:r w:rsidRPr="00ED0C79">
              <w:rPr>
                <w:rFonts w:ascii="Times New Roman" w:hAnsi="Times New Roman" w:cs="Times New Roman"/>
                <w:sz w:val="18"/>
                <w:szCs w:val="18"/>
              </w:rPr>
              <w:t>Order</w:t>
            </w:r>
          </w:p>
        </w:tc>
        <w:tc>
          <w:tcPr>
            <w:tcW w:w="7110" w:type="dxa"/>
          </w:tcPr>
          <w:p w:rsidR="000E41DC" w:rsidRPr="00A97817" w:rsidRDefault="000C5FC5" w:rsidP="00B96DEA">
            <w:pPr>
              <w:jc w:val="both"/>
              <w:rPr>
                <w:rFonts w:ascii="Times New Roman" w:hAnsi="Times New Roman" w:cs="Times New Roman"/>
                <w:sz w:val="18"/>
                <w:szCs w:val="18"/>
              </w:rPr>
            </w:pPr>
            <w:r w:rsidRPr="00ED0C79">
              <w:rPr>
                <w:rFonts w:ascii="Times New Roman" w:hAnsi="Times New Roman" w:cs="Times New Roman"/>
                <w:sz w:val="18"/>
                <w:szCs w:val="18"/>
              </w:rPr>
              <w:t>No Appeal has been filed by the respondents.</w:t>
            </w:r>
          </w:p>
        </w:tc>
      </w:tr>
    </w:tbl>
    <w:p w:rsidR="000E41DC" w:rsidRPr="00A97817" w:rsidRDefault="000E41DC" w:rsidP="00B96DEA">
      <w:pPr>
        <w:ind w:firstLine="720"/>
        <w:jc w:val="both"/>
        <w:rPr>
          <w:rFonts w:ascii="Times New Roman" w:hAnsi="Times New Roman" w:cs="Times New Roman"/>
          <w:sz w:val="18"/>
          <w:szCs w:val="18"/>
        </w:rPr>
      </w:pPr>
    </w:p>
    <w:p w:rsidR="007B3324" w:rsidRPr="00A97817" w:rsidRDefault="007B3324" w:rsidP="00686444">
      <w:pPr>
        <w:pStyle w:val="Default"/>
        <w:jc w:val="both"/>
        <w:rPr>
          <w:rFonts w:ascii="Times New Roman" w:hAnsi="Times New Roman" w:cs="Times New Roman"/>
          <w:b/>
          <w:bCs/>
          <w:color w:val="auto"/>
          <w:sz w:val="18"/>
          <w:szCs w:val="18"/>
        </w:rPr>
      </w:pPr>
    </w:p>
    <w:sectPr w:rsidR="007B3324" w:rsidRPr="00A97817" w:rsidSect="00383328">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EFB" w:rsidRDefault="00FE2EFB" w:rsidP="009F3AF3">
      <w:r>
        <w:separator/>
      </w:r>
    </w:p>
  </w:endnote>
  <w:endnote w:type="continuationSeparator" w:id="0">
    <w:p w:rsidR="00FE2EFB" w:rsidRDefault="00FE2EF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EFB" w:rsidRDefault="00FE2EFB" w:rsidP="009F3AF3">
      <w:r>
        <w:separator/>
      </w:r>
    </w:p>
  </w:footnote>
  <w:footnote w:type="continuationSeparator" w:id="0">
    <w:p w:rsidR="00FE2EFB" w:rsidRDefault="00FE2EF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FE2EFB"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3" w:name="_Hlk118279845"/>
                    <w:bookmarkStart w:id="14" w:name="_Hlk118279846"/>
                    <w:r>
                      <w:rPr>
                        <w:rFonts w:ascii="Times New Roman" w:hAnsi="Times New Roman" w:cs="Times New Roman"/>
                        <w:b/>
                        <w:color w:val="116C65"/>
                      </w:rPr>
                      <w:t>Adjudication Department</w:t>
                    </w:r>
                    <w:bookmarkEnd w:id="13"/>
                    <w:bookmarkEnd w:id="14"/>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7" w:name="_Hlk118279795"/>
                    <w:bookmarkStart w:id="18" w:name="_Hlk118279796"/>
                    <w:r>
                      <w:rPr>
                        <w:rFonts w:ascii="Times New Roman" w:hAnsi="Times New Roman" w:cs="Times New Roman"/>
                        <w:b/>
                        <w:color w:val="116C65"/>
                        <w:sz w:val="34"/>
                      </w:rPr>
                      <w:t xml:space="preserve">     Securities and Exchange Commission of Pakistan</w:t>
                    </w:r>
                    <w:bookmarkEnd w:id="17"/>
                    <w:bookmarkEnd w:id="18"/>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0"/>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8"/>
  </w:num>
  <w:num w:numId="19">
    <w:abstractNumId w:val="28"/>
  </w:num>
  <w:num w:numId="20">
    <w:abstractNumId w:val="27"/>
  </w:num>
  <w:num w:numId="21">
    <w:abstractNumId w:val="11"/>
  </w:num>
  <w:num w:numId="22">
    <w:abstractNumId w:val="31"/>
  </w:num>
  <w:num w:numId="23">
    <w:abstractNumId w:val="5"/>
  </w:num>
  <w:num w:numId="24">
    <w:abstractNumId w:val="34"/>
  </w:num>
  <w:num w:numId="25">
    <w:abstractNumId w:val="35"/>
  </w:num>
  <w:num w:numId="26">
    <w:abstractNumId w:val="13"/>
  </w:num>
  <w:num w:numId="27">
    <w:abstractNumId w:val="9"/>
  </w:num>
  <w:num w:numId="28">
    <w:abstractNumId w:val="32"/>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8"/>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294D"/>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2D36"/>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28C9"/>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35E5"/>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0A2"/>
    <w:rsid w:val="00B733AA"/>
    <w:rsid w:val="00B741C7"/>
    <w:rsid w:val="00B74724"/>
    <w:rsid w:val="00B76482"/>
    <w:rsid w:val="00B76494"/>
    <w:rsid w:val="00B8216B"/>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3FC8"/>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2EFB"/>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4287-63C2-4D1B-82B1-18E82F0C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2022-11-22T10:40:00Z</dcterms:created>
  <dcterms:modified xsi:type="dcterms:W3CDTF">2022-11-22T10:40:00Z</dcterms:modified>
</cp:coreProperties>
</file>