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AB16A5" w:rsidRPr="00FE6A81" w:rsidRDefault="00AB16A5" w:rsidP="00BA5FA2">
      <w:pPr>
        <w:pStyle w:val="NormalWeb"/>
        <w:spacing w:line="276" w:lineRule="auto"/>
        <w:jc w:val="center"/>
        <w:rPr>
          <w:rFonts w:ascii="Book Antiqua" w:hAnsi="Book Antiqua"/>
          <w:b/>
          <w:bCs/>
          <w:sz w:val="22"/>
          <w:szCs w:val="22"/>
        </w:rPr>
      </w:pPr>
    </w:p>
    <w:p w:rsidR="005D1DD2" w:rsidRPr="00FE6A81" w:rsidRDefault="00834E94" w:rsidP="00BA5FA2">
      <w:pPr>
        <w:spacing w:line="276" w:lineRule="auto"/>
        <w:jc w:val="center"/>
        <w:rPr>
          <w:rFonts w:ascii="Book Antiqua" w:hAnsi="Book Antiqua" w:cs="Times New Roman"/>
          <w:b/>
          <w:bCs/>
          <w:sz w:val="22"/>
          <w:szCs w:val="22"/>
        </w:rPr>
      </w:pPr>
      <w:r w:rsidRPr="00FE6A81">
        <w:rPr>
          <w:rFonts w:ascii="Book Antiqua" w:hAnsi="Book Antiqua" w:cs="Times New Roman"/>
          <w:b/>
          <w:bCs/>
          <w:sz w:val="22"/>
          <w:szCs w:val="22"/>
        </w:rPr>
        <w:t xml:space="preserve">Before </w:t>
      </w:r>
    </w:p>
    <w:p w:rsidR="005D1DD2" w:rsidRPr="00FE6A81" w:rsidRDefault="005D1DD2" w:rsidP="00BA5FA2">
      <w:pPr>
        <w:spacing w:line="276" w:lineRule="auto"/>
        <w:jc w:val="center"/>
        <w:rPr>
          <w:rFonts w:ascii="Book Antiqua" w:eastAsia="Arial Unicode MS" w:hAnsi="Book Antiqua" w:cs="Times New Roman"/>
          <w:b/>
          <w:bCs/>
          <w:color w:val="000000"/>
          <w:sz w:val="22"/>
          <w:szCs w:val="22"/>
        </w:rPr>
      </w:pPr>
    </w:p>
    <w:p w:rsidR="005D1DD2" w:rsidRPr="00FE6A81" w:rsidRDefault="005D1DD2" w:rsidP="00BA5FA2">
      <w:pPr>
        <w:spacing w:line="276" w:lineRule="auto"/>
        <w:jc w:val="center"/>
        <w:rPr>
          <w:rFonts w:ascii="Book Antiqua" w:eastAsia="Arial Unicode MS" w:hAnsi="Book Antiqua" w:cs="Times New Roman"/>
          <w:b/>
          <w:bCs/>
          <w:color w:val="000000"/>
          <w:sz w:val="22"/>
          <w:szCs w:val="22"/>
        </w:rPr>
      </w:pPr>
      <w:r w:rsidRPr="00FE6A81">
        <w:rPr>
          <w:rFonts w:ascii="Book Antiqua" w:eastAsia="Arial Unicode MS" w:hAnsi="Book Antiqua" w:cs="Times New Roman"/>
          <w:b/>
          <w:bCs/>
          <w:color w:val="000000"/>
          <w:sz w:val="22"/>
          <w:szCs w:val="22"/>
        </w:rPr>
        <w:t>Amir M. Khan Afridi- Director/ Head of Department</w:t>
      </w:r>
    </w:p>
    <w:p w:rsidR="007F33F3" w:rsidRPr="00FE6A81" w:rsidRDefault="007F33F3" w:rsidP="00BA5FA2">
      <w:pPr>
        <w:spacing w:line="276" w:lineRule="auto"/>
        <w:jc w:val="both"/>
        <w:rPr>
          <w:rFonts w:ascii="Book Antiqua" w:hAnsi="Book Antiqua" w:cs="Times New Roman"/>
          <w:b/>
          <w:bCs/>
          <w:sz w:val="22"/>
          <w:szCs w:val="22"/>
          <w:u w:val="single"/>
        </w:rPr>
      </w:pPr>
    </w:p>
    <w:p w:rsidR="005D1DD2" w:rsidRPr="00FE6A81" w:rsidRDefault="007F33F3" w:rsidP="00BA5FA2">
      <w:pPr>
        <w:tabs>
          <w:tab w:val="left" w:pos="1080"/>
        </w:tabs>
        <w:spacing w:line="276" w:lineRule="auto"/>
        <w:jc w:val="center"/>
        <w:rPr>
          <w:rFonts w:ascii="Book Antiqua" w:hAnsi="Book Antiqua" w:cs="Times New Roman"/>
          <w:b/>
          <w:sz w:val="22"/>
          <w:szCs w:val="22"/>
        </w:rPr>
      </w:pPr>
      <w:r w:rsidRPr="00FE6A81">
        <w:rPr>
          <w:rFonts w:ascii="Book Antiqua" w:hAnsi="Book Antiqua" w:cs="Times New Roman"/>
          <w:b/>
          <w:bCs/>
          <w:sz w:val="22"/>
          <w:szCs w:val="22"/>
          <w:u w:val="single"/>
        </w:rPr>
        <w:t>In the matter of</w:t>
      </w:r>
      <w:r w:rsidR="0088646B" w:rsidRPr="00FE6A81">
        <w:rPr>
          <w:rFonts w:ascii="Book Antiqua" w:hAnsi="Book Antiqua" w:cs="Times New Roman"/>
          <w:b/>
          <w:bCs/>
          <w:sz w:val="22"/>
          <w:szCs w:val="22"/>
          <w:u w:val="single"/>
        </w:rPr>
        <w:t xml:space="preserve"> Show Cause Notice issued to</w:t>
      </w:r>
      <w:r w:rsidR="00F6183A" w:rsidRPr="00FE6A81">
        <w:rPr>
          <w:rFonts w:ascii="Book Antiqua" w:hAnsi="Book Antiqua" w:cs="Times New Roman"/>
          <w:b/>
          <w:bCs/>
          <w:sz w:val="22"/>
          <w:szCs w:val="22"/>
          <w:u w:val="single"/>
        </w:rPr>
        <w:t xml:space="preserve"> </w:t>
      </w:r>
      <w:r w:rsidR="00FE6A81" w:rsidRPr="00FE6A81">
        <w:rPr>
          <w:rFonts w:ascii="Book Antiqua" w:hAnsi="Book Antiqua"/>
          <w:b/>
          <w:bCs/>
          <w:sz w:val="22"/>
          <w:szCs w:val="22"/>
          <w:u w:val="single"/>
        </w:rPr>
        <w:t>International Knitwear Limited</w:t>
      </w:r>
    </w:p>
    <w:p w:rsidR="007F33F3" w:rsidRPr="00FE6A81" w:rsidRDefault="007F33F3" w:rsidP="00BA5FA2">
      <w:pPr>
        <w:tabs>
          <w:tab w:val="left" w:pos="1080"/>
        </w:tabs>
        <w:spacing w:line="276" w:lineRule="auto"/>
        <w:jc w:val="center"/>
        <w:rPr>
          <w:rFonts w:ascii="Book Antiqua" w:hAnsi="Book Antiqua" w:cs="Times New Roman"/>
          <w:b/>
          <w:bCs/>
          <w:sz w:val="22"/>
          <w:szCs w:val="22"/>
          <w:u w:val="single"/>
        </w:rPr>
      </w:pPr>
    </w:p>
    <w:p w:rsidR="007F33F3" w:rsidRPr="00FE6A81" w:rsidRDefault="007F33F3" w:rsidP="00BA5FA2">
      <w:pPr>
        <w:spacing w:line="276" w:lineRule="auto"/>
        <w:jc w:val="both"/>
        <w:rPr>
          <w:rFonts w:ascii="Book Antiqua" w:hAnsi="Book Antiqua"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FE6A81" w:rsidTr="00991511">
        <w:trPr>
          <w:trHeight w:hRule="exact" w:val="965"/>
        </w:trPr>
        <w:tc>
          <w:tcPr>
            <w:tcW w:w="4717" w:type="dxa"/>
            <w:tcBorders>
              <w:bottom w:val="single" w:sz="4" w:space="0" w:color="auto"/>
            </w:tcBorders>
            <w:vAlign w:val="center"/>
          </w:tcPr>
          <w:p w:rsidR="007F33F3" w:rsidRPr="00FE6A81" w:rsidRDefault="007F33F3" w:rsidP="00BA5FA2">
            <w:pPr>
              <w:tabs>
                <w:tab w:val="left" w:pos="9450"/>
              </w:tabs>
              <w:spacing w:line="276" w:lineRule="auto"/>
              <w:ind w:right="75"/>
              <w:jc w:val="both"/>
              <w:outlineLvl w:val="0"/>
              <w:rPr>
                <w:rFonts w:ascii="Book Antiqua" w:hAnsi="Book Antiqua" w:cs="Times New Roman"/>
                <w:bCs/>
                <w:sz w:val="22"/>
                <w:szCs w:val="22"/>
              </w:rPr>
            </w:pPr>
            <w:r w:rsidRPr="00FE6A81">
              <w:rPr>
                <w:rFonts w:ascii="Book Antiqua" w:hAnsi="Book Antiqua" w:cs="Times New Roman"/>
                <w:bCs/>
                <w:sz w:val="22"/>
                <w:szCs w:val="22"/>
              </w:rPr>
              <w:t>Dates of Hearing</w:t>
            </w:r>
          </w:p>
        </w:tc>
        <w:tc>
          <w:tcPr>
            <w:tcW w:w="4624" w:type="dxa"/>
            <w:tcBorders>
              <w:bottom w:val="single" w:sz="4" w:space="0" w:color="auto"/>
            </w:tcBorders>
            <w:vAlign w:val="center"/>
          </w:tcPr>
          <w:p w:rsidR="007F33F3" w:rsidRPr="00FE6A81" w:rsidRDefault="00FE6A81" w:rsidP="00BA5FA2">
            <w:pPr>
              <w:pStyle w:val="NormalWeb"/>
              <w:spacing w:line="276" w:lineRule="auto"/>
              <w:ind w:left="3544" w:hanging="3544"/>
              <w:rPr>
                <w:rFonts w:ascii="Book Antiqua" w:hAnsi="Book Antiqua"/>
                <w:sz w:val="22"/>
                <w:szCs w:val="22"/>
              </w:rPr>
            </w:pPr>
            <w:r w:rsidRPr="00FE6A81">
              <w:rPr>
                <w:rFonts w:ascii="Book Antiqua" w:hAnsi="Book Antiqua"/>
                <w:sz w:val="22"/>
                <w:szCs w:val="22"/>
              </w:rPr>
              <w:t xml:space="preserve">March 15, 2021; June 01, 2022; and </w:t>
            </w:r>
          </w:p>
          <w:p w:rsidR="00FE6A81" w:rsidRPr="00FE6A81" w:rsidRDefault="00FE6A81" w:rsidP="00BA5FA2">
            <w:pPr>
              <w:pStyle w:val="NormalWeb"/>
              <w:spacing w:line="276" w:lineRule="auto"/>
              <w:ind w:left="3544" w:hanging="3544"/>
              <w:rPr>
                <w:rFonts w:ascii="Book Antiqua" w:hAnsi="Book Antiqua"/>
                <w:sz w:val="22"/>
                <w:szCs w:val="22"/>
              </w:rPr>
            </w:pPr>
            <w:r w:rsidRPr="00FE6A81">
              <w:rPr>
                <w:rFonts w:ascii="Book Antiqua" w:hAnsi="Book Antiqua"/>
                <w:sz w:val="22"/>
                <w:szCs w:val="22"/>
              </w:rPr>
              <w:t>July 19, 2022</w:t>
            </w:r>
          </w:p>
        </w:tc>
      </w:tr>
    </w:tbl>
    <w:p w:rsidR="007F33F3" w:rsidRPr="00FE6A81" w:rsidRDefault="007F33F3" w:rsidP="00BA5FA2">
      <w:pPr>
        <w:spacing w:line="276" w:lineRule="auto"/>
        <w:jc w:val="both"/>
        <w:rPr>
          <w:rFonts w:ascii="Book Antiqua" w:hAnsi="Book Antiqua" w:cs="Times New Roman"/>
          <w:b/>
          <w:sz w:val="22"/>
          <w:szCs w:val="22"/>
        </w:rPr>
      </w:pPr>
    </w:p>
    <w:p w:rsidR="007F33F3" w:rsidRPr="00FE6A81" w:rsidRDefault="007F33F3" w:rsidP="00BA5FA2">
      <w:pPr>
        <w:spacing w:line="276" w:lineRule="auto"/>
        <w:jc w:val="center"/>
        <w:rPr>
          <w:rFonts w:ascii="Book Antiqua" w:hAnsi="Book Antiqua" w:cs="Times New Roman"/>
          <w:b/>
          <w:sz w:val="22"/>
          <w:szCs w:val="22"/>
        </w:rPr>
      </w:pPr>
      <w:r w:rsidRPr="00FE6A81">
        <w:rPr>
          <w:rFonts w:ascii="Book Antiqua" w:hAnsi="Book Antiqua" w:cs="Times New Roman"/>
          <w:b/>
          <w:sz w:val="22"/>
          <w:szCs w:val="22"/>
        </w:rPr>
        <w:t>Order-Redacted Version</w:t>
      </w:r>
    </w:p>
    <w:p w:rsidR="007F33F3" w:rsidRPr="00FE6A81" w:rsidRDefault="007F33F3" w:rsidP="00BA5FA2">
      <w:pPr>
        <w:spacing w:line="276" w:lineRule="auto"/>
        <w:jc w:val="both"/>
        <w:rPr>
          <w:rFonts w:ascii="Book Antiqua" w:hAnsi="Book Antiqua" w:cs="Times New Roman"/>
          <w:sz w:val="22"/>
          <w:szCs w:val="22"/>
          <w:u w:val="single"/>
        </w:rPr>
      </w:pPr>
    </w:p>
    <w:p w:rsidR="007F33F3" w:rsidRPr="00FE6A81" w:rsidRDefault="00A31B95" w:rsidP="00BA5FA2">
      <w:pPr>
        <w:tabs>
          <w:tab w:val="left" w:pos="1080"/>
        </w:tabs>
        <w:spacing w:line="276" w:lineRule="auto"/>
        <w:ind w:right="-188"/>
        <w:jc w:val="both"/>
        <w:rPr>
          <w:rFonts w:ascii="Book Antiqua" w:hAnsi="Book Antiqua" w:cs="Times New Roman"/>
          <w:sz w:val="22"/>
          <w:szCs w:val="22"/>
        </w:rPr>
      </w:pPr>
      <w:r w:rsidRPr="00FE6A81">
        <w:rPr>
          <w:rFonts w:ascii="Book Antiqua" w:hAnsi="Book Antiqua" w:cs="Times New Roman"/>
          <w:sz w:val="22"/>
          <w:szCs w:val="22"/>
        </w:rPr>
        <w:tab/>
      </w:r>
      <w:r w:rsidR="007F33F3" w:rsidRPr="00FE6A81">
        <w:rPr>
          <w:rFonts w:ascii="Book Antiqua" w:hAnsi="Book Antiqua" w:cs="Times New Roman"/>
          <w:sz w:val="22"/>
          <w:szCs w:val="22"/>
        </w:rPr>
        <w:t xml:space="preserve">Order dated </w:t>
      </w:r>
      <w:r w:rsidR="00F604C5" w:rsidRPr="00FE6A81">
        <w:rPr>
          <w:rFonts w:ascii="Book Antiqua" w:hAnsi="Book Antiqua" w:cs="Times New Roman"/>
          <w:sz w:val="22"/>
          <w:szCs w:val="22"/>
        </w:rPr>
        <w:t>July 2</w:t>
      </w:r>
      <w:r w:rsidR="00FE6A81" w:rsidRPr="00FE6A81">
        <w:rPr>
          <w:rFonts w:ascii="Book Antiqua" w:hAnsi="Book Antiqua" w:cs="Times New Roman"/>
          <w:sz w:val="22"/>
          <w:szCs w:val="22"/>
        </w:rPr>
        <w:t>5</w:t>
      </w:r>
      <w:r w:rsidR="005D1DD2" w:rsidRPr="00FE6A81">
        <w:rPr>
          <w:rFonts w:ascii="Book Antiqua" w:hAnsi="Book Antiqua" w:cs="Times New Roman"/>
          <w:sz w:val="22"/>
          <w:szCs w:val="22"/>
        </w:rPr>
        <w:t>, 2022</w:t>
      </w:r>
      <w:r w:rsidR="009043D6" w:rsidRPr="00FE6A81">
        <w:rPr>
          <w:rFonts w:ascii="Book Antiqua" w:hAnsi="Book Antiqua" w:cs="Times New Roman"/>
          <w:sz w:val="22"/>
          <w:szCs w:val="22"/>
        </w:rPr>
        <w:t xml:space="preserve"> </w:t>
      </w:r>
      <w:r w:rsidR="007F33F3" w:rsidRPr="00FE6A81">
        <w:rPr>
          <w:rFonts w:ascii="Book Antiqua" w:hAnsi="Book Antiqua" w:cs="Times New Roman"/>
          <w:sz w:val="22"/>
          <w:szCs w:val="22"/>
        </w:rPr>
        <w:t>was passed by Director/Head of Department (Adjudication-I) in the matter of</w:t>
      </w:r>
      <w:r w:rsidR="009043D6" w:rsidRPr="00FE6A81">
        <w:rPr>
          <w:rFonts w:ascii="Book Antiqua" w:hAnsi="Book Antiqua" w:cs="Times New Roman"/>
          <w:sz w:val="22"/>
          <w:szCs w:val="22"/>
        </w:rPr>
        <w:t xml:space="preserve"> </w:t>
      </w:r>
      <w:r w:rsidR="00FE6A81" w:rsidRPr="00FE6A81">
        <w:rPr>
          <w:rFonts w:ascii="Book Antiqua" w:hAnsi="Book Antiqua"/>
          <w:sz w:val="22"/>
          <w:szCs w:val="22"/>
        </w:rPr>
        <w:t>International Knitwear Limited</w:t>
      </w:r>
      <w:r w:rsidR="007F33F3" w:rsidRPr="00FE6A81">
        <w:rPr>
          <w:rFonts w:ascii="Book Antiqua" w:hAnsi="Book Antiqua" w:cs="Times New Roman"/>
          <w:sz w:val="22"/>
          <w:szCs w:val="22"/>
        </w:rPr>
        <w:t>. Relevant details are given as hereunder:</w:t>
      </w:r>
    </w:p>
    <w:p w:rsidR="007F33F3" w:rsidRPr="00FE6A81" w:rsidRDefault="007F33F3" w:rsidP="00BA5FA2">
      <w:pPr>
        <w:spacing w:line="276" w:lineRule="auto"/>
        <w:ind w:firstLine="720"/>
        <w:jc w:val="both"/>
        <w:rPr>
          <w:rFonts w:ascii="Book Antiqua" w:hAnsi="Book Antiqua" w:cs="Times New Roman"/>
          <w:sz w:val="22"/>
          <w:szCs w:val="22"/>
        </w:rPr>
      </w:pPr>
    </w:p>
    <w:tbl>
      <w:tblPr>
        <w:tblStyle w:val="TableGrid"/>
        <w:tblW w:w="9265" w:type="dxa"/>
        <w:tblLook w:val="04A0" w:firstRow="1" w:lastRow="0" w:firstColumn="1" w:lastColumn="0" w:noHBand="0" w:noVBand="1"/>
      </w:tblPr>
      <w:tblGrid>
        <w:gridCol w:w="2605"/>
        <w:gridCol w:w="6660"/>
      </w:tblGrid>
      <w:tr w:rsidR="007F33F3" w:rsidRPr="00FE6A81" w:rsidTr="00991511">
        <w:tc>
          <w:tcPr>
            <w:tcW w:w="2605" w:type="dxa"/>
          </w:tcPr>
          <w:p w:rsidR="007F33F3" w:rsidRPr="00FE6A81" w:rsidRDefault="007F33F3" w:rsidP="00BA5FA2">
            <w:pPr>
              <w:spacing w:line="276" w:lineRule="auto"/>
              <w:jc w:val="center"/>
              <w:rPr>
                <w:rFonts w:ascii="Book Antiqua" w:hAnsi="Book Antiqua" w:cs="Times New Roman"/>
                <w:b/>
                <w:sz w:val="22"/>
                <w:szCs w:val="22"/>
              </w:rPr>
            </w:pPr>
            <w:r w:rsidRPr="00FE6A81">
              <w:rPr>
                <w:rFonts w:ascii="Book Antiqua" w:hAnsi="Book Antiqua" w:cs="Times New Roman"/>
                <w:b/>
                <w:sz w:val="22"/>
                <w:szCs w:val="22"/>
              </w:rPr>
              <w:t>Nature</w:t>
            </w:r>
          </w:p>
        </w:tc>
        <w:tc>
          <w:tcPr>
            <w:tcW w:w="6660" w:type="dxa"/>
          </w:tcPr>
          <w:p w:rsidR="007F33F3" w:rsidRPr="00FE6A81" w:rsidRDefault="007F33F3" w:rsidP="00BA5FA2">
            <w:pPr>
              <w:spacing w:line="276" w:lineRule="auto"/>
              <w:jc w:val="center"/>
              <w:rPr>
                <w:rFonts w:ascii="Book Antiqua" w:hAnsi="Book Antiqua" w:cs="Times New Roman"/>
                <w:b/>
                <w:sz w:val="22"/>
                <w:szCs w:val="22"/>
              </w:rPr>
            </w:pPr>
            <w:r w:rsidRPr="00FE6A81">
              <w:rPr>
                <w:rFonts w:ascii="Book Antiqua" w:hAnsi="Book Antiqua" w:cs="Times New Roman"/>
                <w:b/>
                <w:sz w:val="22"/>
                <w:szCs w:val="22"/>
              </w:rPr>
              <w:t>Details</w:t>
            </w:r>
          </w:p>
        </w:tc>
      </w:tr>
      <w:tr w:rsidR="007F33F3" w:rsidRPr="00FE6A81" w:rsidTr="00991511">
        <w:tc>
          <w:tcPr>
            <w:tcW w:w="2605" w:type="dxa"/>
          </w:tcPr>
          <w:p w:rsidR="007F33F3" w:rsidRPr="00FE6A81" w:rsidRDefault="007F33F3" w:rsidP="00BA5FA2">
            <w:pPr>
              <w:pStyle w:val="NoSpacing"/>
              <w:numPr>
                <w:ilvl w:val="0"/>
                <w:numId w:val="1"/>
              </w:numPr>
              <w:spacing w:line="276" w:lineRule="auto"/>
              <w:ind w:left="334" w:hanging="334"/>
              <w:rPr>
                <w:rFonts w:ascii="Book Antiqua" w:hAnsi="Book Antiqua" w:cs="Times New Roman"/>
                <w:sz w:val="22"/>
                <w:szCs w:val="22"/>
              </w:rPr>
            </w:pPr>
            <w:r w:rsidRPr="00FE6A81">
              <w:rPr>
                <w:rFonts w:ascii="Book Antiqua" w:hAnsi="Book Antiqua" w:cs="Times New Roman"/>
                <w:sz w:val="22"/>
                <w:szCs w:val="22"/>
              </w:rPr>
              <w:t>Date of Action</w:t>
            </w:r>
          </w:p>
          <w:p w:rsidR="007F33F3" w:rsidRPr="00FE6A81" w:rsidRDefault="007F33F3" w:rsidP="00BA5FA2">
            <w:pPr>
              <w:spacing w:line="276" w:lineRule="auto"/>
              <w:jc w:val="both"/>
              <w:rPr>
                <w:rFonts w:ascii="Book Antiqua" w:hAnsi="Book Antiqua" w:cs="Times New Roman"/>
                <w:sz w:val="22"/>
                <w:szCs w:val="22"/>
              </w:rPr>
            </w:pPr>
          </w:p>
        </w:tc>
        <w:tc>
          <w:tcPr>
            <w:tcW w:w="6660" w:type="dxa"/>
          </w:tcPr>
          <w:p w:rsidR="007F33F3" w:rsidRPr="00FE6A81" w:rsidRDefault="007F33F3" w:rsidP="00BA5FA2">
            <w:pPr>
              <w:spacing w:line="276" w:lineRule="auto"/>
              <w:jc w:val="both"/>
              <w:rPr>
                <w:rFonts w:ascii="Book Antiqua" w:hAnsi="Book Antiqua" w:cs="Times New Roman"/>
                <w:sz w:val="22"/>
                <w:szCs w:val="22"/>
              </w:rPr>
            </w:pPr>
            <w:r w:rsidRPr="00FE6A81">
              <w:rPr>
                <w:rFonts w:ascii="Book Antiqua" w:hAnsi="Book Antiqua" w:cs="Times New Roman"/>
                <w:sz w:val="22"/>
                <w:szCs w:val="22"/>
              </w:rPr>
              <w:t xml:space="preserve">Show cause notice dated </w:t>
            </w:r>
            <w:r w:rsidR="00FE6A81" w:rsidRPr="00FE6A81">
              <w:rPr>
                <w:rFonts w:ascii="Book Antiqua" w:hAnsi="Book Antiqua" w:cs="Times New Roman"/>
                <w:sz w:val="22"/>
                <w:szCs w:val="22"/>
              </w:rPr>
              <w:t>January 14, 2020</w:t>
            </w:r>
          </w:p>
        </w:tc>
      </w:tr>
      <w:tr w:rsidR="007F33F3" w:rsidRPr="00FE6A81" w:rsidTr="00991511">
        <w:tc>
          <w:tcPr>
            <w:tcW w:w="2605" w:type="dxa"/>
          </w:tcPr>
          <w:p w:rsidR="007F33F3" w:rsidRPr="00FE6A81" w:rsidRDefault="007F33F3" w:rsidP="00BA5FA2">
            <w:pPr>
              <w:pStyle w:val="NoSpacing"/>
              <w:numPr>
                <w:ilvl w:val="0"/>
                <w:numId w:val="1"/>
              </w:numPr>
              <w:spacing w:line="276" w:lineRule="auto"/>
              <w:ind w:left="334" w:hanging="334"/>
              <w:rPr>
                <w:rFonts w:ascii="Book Antiqua" w:hAnsi="Book Antiqua" w:cs="Times New Roman"/>
                <w:sz w:val="22"/>
                <w:szCs w:val="22"/>
              </w:rPr>
            </w:pPr>
            <w:r w:rsidRPr="00FE6A81">
              <w:rPr>
                <w:rFonts w:ascii="Book Antiqua" w:hAnsi="Book Antiqua" w:cs="Times New Roman"/>
                <w:sz w:val="22"/>
                <w:szCs w:val="22"/>
              </w:rPr>
              <w:t>Name of Company</w:t>
            </w:r>
          </w:p>
          <w:p w:rsidR="007F33F3" w:rsidRPr="00FE6A81" w:rsidRDefault="007F33F3" w:rsidP="00BA5FA2">
            <w:pPr>
              <w:spacing w:line="276" w:lineRule="auto"/>
              <w:jc w:val="both"/>
              <w:rPr>
                <w:rFonts w:ascii="Book Antiqua" w:hAnsi="Book Antiqua" w:cs="Times New Roman"/>
                <w:sz w:val="22"/>
                <w:szCs w:val="22"/>
              </w:rPr>
            </w:pPr>
          </w:p>
        </w:tc>
        <w:tc>
          <w:tcPr>
            <w:tcW w:w="6660" w:type="dxa"/>
          </w:tcPr>
          <w:p w:rsidR="007F33F3" w:rsidRPr="00FE6A81" w:rsidRDefault="00FE6A81" w:rsidP="00BA5FA2">
            <w:pPr>
              <w:spacing w:line="276" w:lineRule="auto"/>
              <w:jc w:val="both"/>
              <w:rPr>
                <w:rFonts w:ascii="Book Antiqua" w:hAnsi="Book Antiqua" w:cs="Times New Roman"/>
                <w:sz w:val="22"/>
                <w:szCs w:val="22"/>
              </w:rPr>
            </w:pPr>
            <w:r w:rsidRPr="00FE6A81">
              <w:rPr>
                <w:rFonts w:ascii="Book Antiqua" w:hAnsi="Book Antiqua"/>
                <w:sz w:val="22"/>
                <w:szCs w:val="22"/>
              </w:rPr>
              <w:t>International Knitwear Limited</w:t>
            </w:r>
          </w:p>
        </w:tc>
      </w:tr>
      <w:tr w:rsidR="00FD6E1D" w:rsidRPr="00FE6A81" w:rsidTr="00991511">
        <w:tc>
          <w:tcPr>
            <w:tcW w:w="2605" w:type="dxa"/>
          </w:tcPr>
          <w:p w:rsidR="00FD6E1D" w:rsidRPr="00FE6A81" w:rsidRDefault="00FD6E1D" w:rsidP="00BA5FA2">
            <w:pPr>
              <w:pStyle w:val="NoSpacing"/>
              <w:numPr>
                <w:ilvl w:val="0"/>
                <w:numId w:val="1"/>
              </w:numPr>
              <w:spacing w:line="276" w:lineRule="auto"/>
              <w:ind w:left="334" w:hanging="334"/>
              <w:rPr>
                <w:rFonts w:ascii="Book Antiqua" w:hAnsi="Book Antiqua" w:cs="Times New Roman"/>
                <w:sz w:val="22"/>
                <w:szCs w:val="22"/>
              </w:rPr>
            </w:pPr>
            <w:r w:rsidRPr="00FE6A81">
              <w:rPr>
                <w:rFonts w:ascii="Book Antiqua" w:hAnsi="Book Antiqua" w:cs="Times New Roman"/>
                <w:sz w:val="22"/>
                <w:szCs w:val="22"/>
              </w:rPr>
              <w:t>Name of Individual</w:t>
            </w:r>
          </w:p>
        </w:tc>
        <w:tc>
          <w:tcPr>
            <w:tcW w:w="6660" w:type="dxa"/>
          </w:tcPr>
          <w:p w:rsidR="00FD6E1D" w:rsidRPr="00FE6A81" w:rsidRDefault="00FD6E1D" w:rsidP="00BA5FA2">
            <w:pPr>
              <w:spacing w:line="276" w:lineRule="auto"/>
              <w:jc w:val="both"/>
              <w:rPr>
                <w:rFonts w:ascii="Book Antiqua" w:hAnsi="Book Antiqua" w:cs="Times New Roman"/>
                <w:sz w:val="22"/>
                <w:szCs w:val="22"/>
              </w:rPr>
            </w:pPr>
            <w:r w:rsidRPr="00FE6A81">
              <w:rPr>
                <w:rFonts w:ascii="Book Antiqua" w:hAnsi="Book Antiqua" w:cs="Times New Roman"/>
                <w:sz w:val="22"/>
                <w:szCs w:val="22"/>
              </w:rPr>
              <w:t>The proceedings were initiated against the</w:t>
            </w:r>
            <w:r w:rsidR="00834E94" w:rsidRPr="00FE6A81">
              <w:rPr>
                <w:rFonts w:ascii="Book Antiqua" w:hAnsi="Book Antiqua" w:cs="Times New Roman"/>
                <w:sz w:val="22"/>
                <w:szCs w:val="22"/>
              </w:rPr>
              <w:t xml:space="preserve"> board of directors of the</w:t>
            </w:r>
            <w:r w:rsidRPr="00FE6A81">
              <w:rPr>
                <w:rFonts w:ascii="Book Antiqua" w:hAnsi="Book Antiqua" w:cs="Times New Roman"/>
                <w:sz w:val="22"/>
                <w:szCs w:val="22"/>
              </w:rPr>
              <w:t xml:space="preserve"> Company </w:t>
            </w:r>
          </w:p>
        </w:tc>
      </w:tr>
      <w:tr w:rsidR="00FD6E1D" w:rsidRPr="00FE6A81" w:rsidTr="00991511">
        <w:tc>
          <w:tcPr>
            <w:tcW w:w="2605" w:type="dxa"/>
          </w:tcPr>
          <w:p w:rsidR="00FD6E1D" w:rsidRPr="00FE6A81" w:rsidRDefault="00FD6E1D" w:rsidP="00BA5FA2">
            <w:pPr>
              <w:pStyle w:val="NoSpacing"/>
              <w:numPr>
                <w:ilvl w:val="0"/>
                <w:numId w:val="1"/>
              </w:numPr>
              <w:spacing w:line="276" w:lineRule="auto"/>
              <w:ind w:left="334" w:hanging="334"/>
              <w:rPr>
                <w:rFonts w:ascii="Book Antiqua" w:hAnsi="Book Antiqua" w:cs="Times New Roman"/>
                <w:sz w:val="22"/>
                <w:szCs w:val="22"/>
              </w:rPr>
            </w:pPr>
            <w:r w:rsidRPr="00FE6A81">
              <w:rPr>
                <w:rFonts w:ascii="Book Antiqua" w:hAnsi="Book Antiqua" w:cs="Times New Roman"/>
                <w:sz w:val="22"/>
                <w:szCs w:val="22"/>
              </w:rPr>
              <w:t>Nature of Offence</w:t>
            </w:r>
          </w:p>
          <w:p w:rsidR="00FD6E1D" w:rsidRPr="00FE6A81" w:rsidRDefault="00FD6E1D" w:rsidP="00BA5FA2">
            <w:pPr>
              <w:spacing w:line="276" w:lineRule="auto"/>
              <w:jc w:val="both"/>
              <w:rPr>
                <w:rFonts w:ascii="Book Antiqua" w:hAnsi="Book Antiqua" w:cs="Times New Roman"/>
                <w:sz w:val="22"/>
                <w:szCs w:val="22"/>
              </w:rPr>
            </w:pPr>
          </w:p>
        </w:tc>
        <w:tc>
          <w:tcPr>
            <w:tcW w:w="6660" w:type="dxa"/>
          </w:tcPr>
          <w:p w:rsidR="00FD6E1D" w:rsidRPr="00FE6A81" w:rsidRDefault="00FD6E1D" w:rsidP="00BA5FA2">
            <w:pPr>
              <w:spacing w:line="276" w:lineRule="auto"/>
              <w:jc w:val="both"/>
              <w:rPr>
                <w:rFonts w:ascii="Book Antiqua" w:hAnsi="Book Antiqua" w:cs="Times New Roman"/>
                <w:sz w:val="22"/>
                <w:szCs w:val="22"/>
              </w:rPr>
            </w:pPr>
            <w:r w:rsidRPr="00FE6A81">
              <w:rPr>
                <w:rFonts w:ascii="Book Antiqua" w:hAnsi="Book Antiqua" w:cs="Times New Roman"/>
                <w:sz w:val="22"/>
                <w:szCs w:val="22"/>
              </w:rPr>
              <w:t xml:space="preserve">Proceedings were initiated in terms of </w:t>
            </w:r>
            <w:r w:rsidR="00FE6A81" w:rsidRPr="00FE6A81">
              <w:rPr>
                <w:rFonts w:ascii="Book Antiqua" w:hAnsi="Book Antiqua" w:cs="Times New Roman"/>
                <w:sz w:val="22"/>
                <w:szCs w:val="22"/>
              </w:rPr>
              <w:t>S</w:t>
            </w:r>
            <w:r w:rsidR="00FE6A81" w:rsidRPr="00FE6A81">
              <w:rPr>
                <w:rFonts w:ascii="Book Antiqua" w:hAnsi="Book Antiqua"/>
                <w:sz w:val="22"/>
                <w:szCs w:val="22"/>
              </w:rPr>
              <w:t>ection 227 of the Companies Ordinance, 1984 (</w:t>
            </w:r>
            <w:r w:rsidR="00FE6A81" w:rsidRPr="00FE6A81">
              <w:rPr>
                <w:rFonts w:ascii="Book Antiqua" w:hAnsi="Book Antiqua"/>
                <w:b/>
                <w:sz w:val="22"/>
                <w:szCs w:val="22"/>
              </w:rPr>
              <w:t>the Ordinance</w:t>
            </w:r>
            <w:r w:rsidR="00FE6A81" w:rsidRPr="00FE6A81">
              <w:rPr>
                <w:rFonts w:ascii="Book Antiqua" w:hAnsi="Book Antiqua"/>
                <w:sz w:val="22"/>
                <w:szCs w:val="22"/>
              </w:rPr>
              <w:t>) read with Sections 229 and 476 thereof</w:t>
            </w:r>
          </w:p>
          <w:p w:rsidR="00F604C5" w:rsidRPr="00FE6A81" w:rsidRDefault="00F604C5" w:rsidP="00BA5FA2">
            <w:pPr>
              <w:spacing w:line="276" w:lineRule="auto"/>
              <w:jc w:val="both"/>
              <w:rPr>
                <w:rFonts w:ascii="Book Antiqua" w:hAnsi="Book Antiqua" w:cs="Times New Roman"/>
                <w:sz w:val="22"/>
                <w:szCs w:val="22"/>
              </w:rPr>
            </w:pPr>
          </w:p>
          <w:p w:rsidR="00FE6A81" w:rsidRDefault="00FE6A81" w:rsidP="00BA5FA2">
            <w:pPr>
              <w:pStyle w:val="Style1"/>
              <w:kinsoku w:val="0"/>
              <w:spacing w:line="276" w:lineRule="auto"/>
              <w:contextualSpacing/>
              <w:jc w:val="both"/>
              <w:rPr>
                <w:rFonts w:ascii="Book Antiqua" w:hAnsi="Book Antiqua"/>
                <w:sz w:val="22"/>
                <w:szCs w:val="22"/>
              </w:rPr>
            </w:pPr>
            <w:r w:rsidRPr="00FE6A81">
              <w:rPr>
                <w:rFonts w:ascii="Book Antiqua" w:hAnsi="Book Antiqua"/>
                <w:sz w:val="22"/>
                <w:szCs w:val="22"/>
              </w:rPr>
              <w:t xml:space="preserve">Brief facts of the case are that </w:t>
            </w:r>
            <w:r w:rsidRPr="00FE6A81">
              <w:rPr>
                <w:rFonts w:ascii="Book Antiqua" w:hAnsi="Book Antiqua"/>
                <w:bCs/>
                <w:sz w:val="22"/>
                <w:szCs w:val="22"/>
              </w:rPr>
              <w:t>examination of the annual audited financial statements of the Company for the year ended June 30, 2017 (</w:t>
            </w:r>
            <w:r w:rsidRPr="00FE6A81">
              <w:rPr>
                <w:rFonts w:ascii="Book Antiqua" w:hAnsi="Book Antiqua"/>
                <w:b/>
                <w:bCs/>
                <w:sz w:val="22"/>
                <w:szCs w:val="22"/>
              </w:rPr>
              <w:t>the 2017 Accounts</w:t>
            </w:r>
            <w:r w:rsidRPr="00FE6A81">
              <w:rPr>
                <w:rFonts w:ascii="Book Antiqua" w:hAnsi="Book Antiqua"/>
                <w:bCs/>
                <w:sz w:val="22"/>
                <w:szCs w:val="22"/>
              </w:rPr>
              <w:t>) transpired that the Company has disclosed provident fund balance amounting to Rs.</w:t>
            </w:r>
            <w:r w:rsidR="00BA5FA2">
              <w:rPr>
                <w:rFonts w:ascii="Book Antiqua" w:hAnsi="Book Antiqua"/>
                <w:bCs/>
                <w:sz w:val="22"/>
                <w:szCs w:val="22"/>
              </w:rPr>
              <w:t xml:space="preserve"> ****</w:t>
            </w:r>
            <w:r w:rsidRPr="00FE6A81">
              <w:rPr>
                <w:rFonts w:ascii="Book Antiqua" w:hAnsi="Book Antiqua"/>
                <w:bCs/>
                <w:sz w:val="22"/>
                <w:szCs w:val="22"/>
              </w:rPr>
              <w:t xml:space="preserve"> (2016: Rs. </w:t>
            </w:r>
            <w:r w:rsidR="00BA5FA2">
              <w:rPr>
                <w:rFonts w:ascii="Book Antiqua" w:hAnsi="Book Antiqua"/>
                <w:bCs/>
                <w:sz w:val="22"/>
                <w:szCs w:val="22"/>
              </w:rPr>
              <w:t>****</w:t>
            </w:r>
            <w:r w:rsidRPr="00FE6A81">
              <w:rPr>
                <w:rFonts w:ascii="Book Antiqua" w:hAnsi="Book Antiqua"/>
                <w:bCs/>
                <w:sz w:val="22"/>
                <w:szCs w:val="22"/>
              </w:rPr>
              <w:t xml:space="preserve">). The Company vide </w:t>
            </w:r>
            <w:r w:rsidRPr="00FE6A81">
              <w:rPr>
                <w:rFonts w:ascii="Book Antiqua" w:hAnsi="Book Antiqua"/>
                <w:sz w:val="22"/>
                <w:szCs w:val="22"/>
              </w:rPr>
              <w:t>letter dated January 12, 2018 provided provident fund ledger and bank account statement pertaining to the period from July 01, 2016 to June 30, 2017 that reflected delays in transferring</w:t>
            </w:r>
            <w:bookmarkStart w:id="0" w:name="_Hlk83184777"/>
            <w:r w:rsidRPr="00FE6A81">
              <w:rPr>
                <w:rFonts w:ascii="Book Antiqua" w:hAnsi="Book Antiqua"/>
                <w:sz w:val="22"/>
                <w:szCs w:val="22"/>
              </w:rPr>
              <w:t xml:space="preserve"> of balances to the provident fund</w:t>
            </w:r>
            <w:bookmarkEnd w:id="0"/>
            <w:r w:rsidR="00BA5FA2">
              <w:rPr>
                <w:rFonts w:ascii="Book Antiqua" w:hAnsi="Book Antiqua"/>
                <w:sz w:val="22"/>
                <w:szCs w:val="22"/>
              </w:rPr>
              <w:t>.</w:t>
            </w:r>
          </w:p>
          <w:p w:rsidR="00FE6A81" w:rsidRDefault="00FE6A81" w:rsidP="00BA5FA2">
            <w:pPr>
              <w:pStyle w:val="Style1"/>
              <w:kinsoku w:val="0"/>
              <w:spacing w:line="276" w:lineRule="auto"/>
              <w:contextualSpacing/>
              <w:jc w:val="both"/>
              <w:rPr>
                <w:rFonts w:ascii="Book Antiqua" w:hAnsi="Book Antiqua"/>
                <w:sz w:val="22"/>
                <w:szCs w:val="22"/>
              </w:rPr>
            </w:pPr>
          </w:p>
          <w:p w:rsidR="005D1DD2" w:rsidRPr="00FE6A81" w:rsidRDefault="00FE6A81" w:rsidP="00BA5FA2">
            <w:pPr>
              <w:pStyle w:val="BodyText"/>
              <w:spacing w:line="276" w:lineRule="auto"/>
              <w:jc w:val="both"/>
              <w:rPr>
                <w:rFonts w:ascii="Book Antiqua" w:hAnsi="Book Antiqua" w:cs="Times New Roman"/>
                <w:sz w:val="22"/>
                <w:szCs w:val="22"/>
              </w:rPr>
            </w:pPr>
            <w:r w:rsidRPr="00FE6A81">
              <w:rPr>
                <w:rFonts w:ascii="Book Antiqua" w:hAnsi="Book Antiqua"/>
                <w:sz w:val="22"/>
                <w:szCs w:val="22"/>
              </w:rPr>
              <w:t xml:space="preserve">The information provided transpires that balances to the provident fund have transferred with delays ranging from four (4) to fifty (50) </w:t>
            </w:r>
            <w:r w:rsidRPr="00FE6A81">
              <w:rPr>
                <w:rFonts w:ascii="Book Antiqua" w:hAnsi="Book Antiqua"/>
                <w:sz w:val="22"/>
                <w:szCs w:val="22"/>
              </w:rPr>
              <w:lastRenderedPageBreak/>
              <w:t xml:space="preserve">days, contrary to the requirements of Section sub-section (1) of Section </w:t>
            </w:r>
            <w:r w:rsidR="00D57CBB" w:rsidRPr="00FE6A81">
              <w:rPr>
                <w:rFonts w:ascii="Book Antiqua" w:hAnsi="Book Antiqua"/>
                <w:sz w:val="22"/>
                <w:szCs w:val="22"/>
              </w:rPr>
              <w:t>227 of</w:t>
            </w:r>
            <w:r w:rsidRPr="00FE6A81">
              <w:rPr>
                <w:rFonts w:ascii="Book Antiqua" w:hAnsi="Book Antiqua"/>
                <w:sz w:val="22"/>
                <w:szCs w:val="22"/>
              </w:rPr>
              <w:t xml:space="preserve"> the Ordinance.</w:t>
            </w:r>
          </w:p>
        </w:tc>
      </w:tr>
      <w:tr w:rsidR="00FD6E1D" w:rsidRPr="00FE6A81" w:rsidTr="00991511">
        <w:tc>
          <w:tcPr>
            <w:tcW w:w="2605" w:type="dxa"/>
          </w:tcPr>
          <w:p w:rsidR="00FD6E1D" w:rsidRPr="00FE6A81" w:rsidRDefault="00FD6E1D" w:rsidP="00BA5FA2">
            <w:pPr>
              <w:pStyle w:val="NoSpacing"/>
              <w:numPr>
                <w:ilvl w:val="0"/>
                <w:numId w:val="1"/>
              </w:numPr>
              <w:spacing w:line="276" w:lineRule="auto"/>
              <w:ind w:left="334"/>
              <w:rPr>
                <w:rFonts w:ascii="Book Antiqua" w:hAnsi="Book Antiqua" w:cs="Times New Roman"/>
                <w:sz w:val="22"/>
                <w:szCs w:val="22"/>
              </w:rPr>
            </w:pPr>
            <w:r w:rsidRPr="00FE6A81">
              <w:rPr>
                <w:rFonts w:ascii="Book Antiqua" w:hAnsi="Book Antiqua" w:cs="Times New Roman"/>
                <w:sz w:val="22"/>
                <w:szCs w:val="22"/>
              </w:rPr>
              <w:lastRenderedPageBreak/>
              <w:t>Action Taken</w:t>
            </w:r>
          </w:p>
          <w:p w:rsidR="00FD6E1D" w:rsidRPr="00FE6A81" w:rsidRDefault="00FD6E1D" w:rsidP="00BA5FA2">
            <w:pPr>
              <w:spacing w:line="276" w:lineRule="auto"/>
              <w:jc w:val="both"/>
              <w:rPr>
                <w:rFonts w:ascii="Book Antiqua" w:hAnsi="Book Antiqua" w:cs="Times New Roman"/>
                <w:sz w:val="22"/>
                <w:szCs w:val="22"/>
              </w:rPr>
            </w:pPr>
          </w:p>
        </w:tc>
        <w:tc>
          <w:tcPr>
            <w:tcW w:w="6660" w:type="dxa"/>
          </w:tcPr>
          <w:p w:rsidR="00963191" w:rsidRPr="00FE6A81" w:rsidRDefault="00963191" w:rsidP="00BA5FA2">
            <w:pPr>
              <w:tabs>
                <w:tab w:val="left" w:pos="0"/>
              </w:tabs>
              <w:autoSpaceDE w:val="0"/>
              <w:autoSpaceDN w:val="0"/>
              <w:adjustRightInd w:val="0"/>
              <w:spacing w:line="276" w:lineRule="auto"/>
              <w:jc w:val="both"/>
              <w:rPr>
                <w:rFonts w:ascii="Book Antiqua" w:hAnsi="Book Antiqua" w:cs="Times New Roman"/>
                <w:sz w:val="22"/>
                <w:szCs w:val="22"/>
              </w:rPr>
            </w:pPr>
            <w:r w:rsidRPr="00FE6A81">
              <w:rPr>
                <w:rFonts w:ascii="Book Antiqua" w:hAnsi="Book Antiqua" w:cs="Times New Roman"/>
                <w:sz w:val="22"/>
                <w:szCs w:val="22"/>
              </w:rPr>
              <w:t>Key findings were reported in the following manner:</w:t>
            </w:r>
          </w:p>
          <w:p w:rsidR="005D1DD2" w:rsidRPr="00FE6A81" w:rsidRDefault="005D1DD2" w:rsidP="00BA5FA2">
            <w:pPr>
              <w:spacing w:line="276" w:lineRule="auto"/>
              <w:jc w:val="both"/>
              <w:rPr>
                <w:rFonts w:ascii="Book Antiqua" w:hAnsi="Book Antiqua" w:cs="Times New Roman"/>
                <w:sz w:val="22"/>
                <w:szCs w:val="22"/>
              </w:rPr>
            </w:pPr>
          </w:p>
          <w:p w:rsidR="005D1DD2" w:rsidRPr="00FE6A81" w:rsidRDefault="00FE6A81" w:rsidP="00BA5FA2">
            <w:pPr>
              <w:pStyle w:val="ListParagraph"/>
              <w:spacing w:line="276" w:lineRule="auto"/>
              <w:ind w:left="0"/>
              <w:contextualSpacing w:val="0"/>
              <w:jc w:val="both"/>
              <w:rPr>
                <w:rFonts w:ascii="Book Antiqua" w:hAnsi="Book Antiqua" w:cs="Times New Roman"/>
                <w:sz w:val="22"/>
                <w:szCs w:val="22"/>
              </w:rPr>
            </w:pPr>
            <w:r w:rsidRPr="00FE6A81">
              <w:rPr>
                <w:rFonts w:ascii="Book Antiqua" w:hAnsi="Book Antiqua" w:cs="Times New Roman"/>
                <w:color w:val="000000" w:themeColor="text1"/>
                <w:sz w:val="22"/>
                <w:szCs w:val="22"/>
              </w:rPr>
              <w:t xml:space="preserve">I have gone through the facts of the case and considered both the written and oral submissions of the Respondents in light of the aforesaid provisions of the law and record placed before me and state that the Respondents have admitted non-compliance of Section 227 of the Ordinance and, therefore, are liable for penalty under Section 229 of the Ordinance. </w:t>
            </w:r>
            <w:r w:rsidR="00D57CBB" w:rsidRPr="00FE6A81">
              <w:rPr>
                <w:rFonts w:ascii="Book Antiqua" w:hAnsi="Book Antiqua" w:cs="Times New Roman"/>
                <w:color w:val="000000" w:themeColor="text1"/>
                <w:sz w:val="22"/>
                <w:szCs w:val="22"/>
              </w:rPr>
              <w:t>However,</w:t>
            </w:r>
            <w:r w:rsidRPr="00FE6A81">
              <w:rPr>
                <w:rFonts w:ascii="Book Antiqua" w:hAnsi="Book Antiqua" w:cs="Times New Roman"/>
                <w:color w:val="000000" w:themeColor="text1"/>
                <w:sz w:val="22"/>
                <w:szCs w:val="22"/>
              </w:rPr>
              <w:t xml:space="preserve"> taking cognizance of the fact that subsequently the Company has transferred all the over-due contributions to the employees fund, I in terms of the powers conferred under Section </w:t>
            </w:r>
            <w:r w:rsidR="00BA5FA2">
              <w:rPr>
                <w:rFonts w:ascii="Book Antiqua" w:hAnsi="Book Antiqua" w:cs="Times New Roman"/>
                <w:color w:val="000000" w:themeColor="text1"/>
                <w:sz w:val="22"/>
                <w:szCs w:val="22"/>
              </w:rPr>
              <w:t>229</w:t>
            </w:r>
            <w:bookmarkStart w:id="1" w:name="_GoBack"/>
            <w:bookmarkEnd w:id="1"/>
            <w:r w:rsidRPr="00FE6A81">
              <w:rPr>
                <w:rFonts w:ascii="Book Antiqua" w:hAnsi="Book Antiqua" w:cs="Times New Roman"/>
                <w:color w:val="000000" w:themeColor="text1"/>
                <w:sz w:val="22"/>
                <w:szCs w:val="22"/>
              </w:rPr>
              <w:t xml:space="preserve"> of the Ordinance read with Section 219 of the Act, hereby conclude the instant proceedings without imposing any penalty on the Respondents. The Respondents are, however, advised to ensure compliance with all the regulatory requirements including Section 218 of the Act in letter and spirit, in future.</w:t>
            </w:r>
          </w:p>
          <w:p w:rsidR="00F604C5" w:rsidRPr="00FE6A81" w:rsidRDefault="00F604C5" w:rsidP="00BA5FA2">
            <w:pPr>
              <w:pStyle w:val="ListParagraph"/>
              <w:spacing w:line="276" w:lineRule="auto"/>
              <w:ind w:left="0"/>
              <w:contextualSpacing w:val="0"/>
              <w:jc w:val="both"/>
              <w:rPr>
                <w:rFonts w:ascii="Book Antiqua" w:hAnsi="Book Antiqua" w:cs="Times New Roman"/>
                <w:sz w:val="22"/>
                <w:szCs w:val="22"/>
              </w:rPr>
            </w:pPr>
          </w:p>
          <w:p w:rsidR="00213C34" w:rsidRPr="00BA5FA2" w:rsidRDefault="00BA5FA2" w:rsidP="00BA5FA2">
            <w:pPr>
              <w:tabs>
                <w:tab w:val="left" w:pos="810"/>
              </w:tabs>
              <w:spacing w:line="276" w:lineRule="auto"/>
              <w:jc w:val="both"/>
              <w:rPr>
                <w:rFonts w:ascii="Book Antiqua" w:hAnsi="Book Antiqua"/>
                <w:sz w:val="22"/>
                <w:szCs w:val="22"/>
              </w:rPr>
            </w:pPr>
            <w:r w:rsidRPr="00094CCC">
              <w:rPr>
                <w:rFonts w:ascii="Book Antiqua" w:eastAsia="Calibri" w:hAnsi="Book Antiqua"/>
                <w:color w:val="000000" w:themeColor="text1"/>
                <w:sz w:val="22"/>
                <w:szCs w:val="22"/>
              </w:rPr>
              <w:t xml:space="preserve">Nothing in this Order may be deemed to prejudice the operation of any provision of the Companies Ordinance, 1984 and/ or Companies Act, 2017 (the Act) providing for imposition of penalties in respect of any default, omission or violation of the Act. </w:t>
            </w:r>
          </w:p>
        </w:tc>
      </w:tr>
      <w:tr w:rsidR="00FD6E1D" w:rsidRPr="00FE6A81" w:rsidTr="00991511">
        <w:tc>
          <w:tcPr>
            <w:tcW w:w="2605" w:type="dxa"/>
          </w:tcPr>
          <w:p w:rsidR="00FD6E1D" w:rsidRPr="00FE6A81" w:rsidRDefault="00FD6E1D" w:rsidP="00BA5FA2">
            <w:pPr>
              <w:pStyle w:val="NoSpacing"/>
              <w:numPr>
                <w:ilvl w:val="0"/>
                <w:numId w:val="1"/>
              </w:numPr>
              <w:spacing w:line="276" w:lineRule="auto"/>
              <w:ind w:left="340"/>
              <w:rPr>
                <w:rFonts w:ascii="Book Antiqua" w:hAnsi="Book Antiqua" w:cs="Times New Roman"/>
                <w:sz w:val="22"/>
                <w:szCs w:val="22"/>
              </w:rPr>
            </w:pPr>
            <w:r w:rsidRPr="00FE6A81">
              <w:rPr>
                <w:rFonts w:ascii="Book Antiqua" w:hAnsi="Book Antiqua" w:cs="Times New Roman"/>
                <w:sz w:val="22"/>
                <w:szCs w:val="22"/>
              </w:rPr>
              <w:t>Penalty Imposed</w:t>
            </w:r>
          </w:p>
          <w:p w:rsidR="00FD6E1D" w:rsidRPr="00FE6A81" w:rsidRDefault="00FD6E1D" w:rsidP="00BA5FA2">
            <w:pPr>
              <w:spacing w:line="276" w:lineRule="auto"/>
              <w:jc w:val="both"/>
              <w:rPr>
                <w:rFonts w:ascii="Book Antiqua" w:hAnsi="Book Antiqua" w:cs="Times New Roman"/>
                <w:sz w:val="22"/>
                <w:szCs w:val="22"/>
              </w:rPr>
            </w:pPr>
          </w:p>
        </w:tc>
        <w:tc>
          <w:tcPr>
            <w:tcW w:w="6660" w:type="dxa"/>
          </w:tcPr>
          <w:p w:rsidR="00FD6E1D" w:rsidRPr="00FE6A81" w:rsidRDefault="00D57CBB" w:rsidP="00BA5FA2">
            <w:pPr>
              <w:spacing w:line="276" w:lineRule="auto"/>
              <w:rPr>
                <w:rFonts w:ascii="Book Antiqua" w:hAnsi="Book Antiqua" w:cs="Times New Roman"/>
                <w:sz w:val="22"/>
                <w:szCs w:val="22"/>
              </w:rPr>
            </w:pPr>
            <w:r>
              <w:rPr>
                <w:rFonts w:ascii="Book Antiqua" w:hAnsi="Book Antiqua"/>
                <w:sz w:val="22"/>
                <w:szCs w:val="22"/>
              </w:rPr>
              <w:t>No Penalty has been imposed on the respondents.</w:t>
            </w:r>
          </w:p>
        </w:tc>
      </w:tr>
      <w:tr w:rsidR="00FD6E1D" w:rsidRPr="00FE6A81" w:rsidTr="00991511">
        <w:tc>
          <w:tcPr>
            <w:tcW w:w="2605" w:type="dxa"/>
          </w:tcPr>
          <w:p w:rsidR="00FD6E1D" w:rsidRPr="00FE6A81" w:rsidRDefault="00FD6E1D" w:rsidP="00BA5FA2">
            <w:pPr>
              <w:pStyle w:val="ListParagraph"/>
              <w:numPr>
                <w:ilvl w:val="0"/>
                <w:numId w:val="1"/>
              </w:numPr>
              <w:spacing w:line="276" w:lineRule="auto"/>
              <w:ind w:left="334"/>
              <w:jc w:val="both"/>
              <w:rPr>
                <w:rFonts w:ascii="Book Antiqua" w:hAnsi="Book Antiqua" w:cs="Times New Roman"/>
                <w:sz w:val="22"/>
                <w:szCs w:val="22"/>
              </w:rPr>
            </w:pPr>
            <w:r w:rsidRPr="00FE6A81">
              <w:rPr>
                <w:rFonts w:ascii="Book Antiqua" w:hAnsi="Book Antiqua" w:cs="Times New Roman"/>
                <w:sz w:val="22"/>
                <w:szCs w:val="22"/>
              </w:rPr>
              <w:t>Current Status of Order</w:t>
            </w:r>
          </w:p>
        </w:tc>
        <w:tc>
          <w:tcPr>
            <w:tcW w:w="6660" w:type="dxa"/>
          </w:tcPr>
          <w:p w:rsidR="00FD6E1D" w:rsidRPr="00FE6A81" w:rsidRDefault="006D6A98" w:rsidP="00BA5FA2">
            <w:pPr>
              <w:spacing w:line="276" w:lineRule="auto"/>
              <w:jc w:val="both"/>
              <w:rPr>
                <w:rFonts w:ascii="Book Antiqua" w:hAnsi="Book Antiqua" w:cs="Times New Roman"/>
                <w:sz w:val="22"/>
                <w:szCs w:val="22"/>
              </w:rPr>
            </w:pPr>
            <w:r w:rsidRPr="00FE6A81">
              <w:rPr>
                <w:rFonts w:ascii="Book Antiqua" w:hAnsi="Book Antiqua" w:cs="Times New Roman"/>
                <w:sz w:val="22"/>
                <w:szCs w:val="22"/>
              </w:rPr>
              <w:t xml:space="preserve">No </w:t>
            </w:r>
            <w:r w:rsidR="00FD6E1D" w:rsidRPr="00FE6A81">
              <w:rPr>
                <w:rFonts w:ascii="Book Antiqua" w:hAnsi="Book Antiqua" w:cs="Times New Roman"/>
                <w:sz w:val="22"/>
                <w:szCs w:val="22"/>
              </w:rPr>
              <w:t>Appeal has been filed by the respondents.</w:t>
            </w:r>
          </w:p>
        </w:tc>
      </w:tr>
    </w:tbl>
    <w:p w:rsidR="007F33F3" w:rsidRPr="00FE6A81" w:rsidRDefault="007F33F3" w:rsidP="00BA5FA2">
      <w:pPr>
        <w:spacing w:line="276" w:lineRule="auto"/>
        <w:ind w:firstLine="720"/>
        <w:jc w:val="both"/>
        <w:rPr>
          <w:rFonts w:ascii="Book Antiqua" w:hAnsi="Book Antiqua" w:cs="Times New Roman"/>
          <w:sz w:val="22"/>
          <w:szCs w:val="22"/>
        </w:rPr>
      </w:pPr>
    </w:p>
    <w:p w:rsidR="00C429B2" w:rsidRPr="00FE6A81" w:rsidRDefault="00C429B2" w:rsidP="00BA5FA2">
      <w:pPr>
        <w:spacing w:line="276" w:lineRule="auto"/>
        <w:rPr>
          <w:rFonts w:ascii="Book Antiqua" w:hAnsi="Book Antiqua" w:cs="Times New Roman"/>
          <w:sz w:val="22"/>
          <w:szCs w:val="22"/>
        </w:rPr>
      </w:pPr>
    </w:p>
    <w:sectPr w:rsidR="00C429B2" w:rsidRPr="00FE6A81"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4E" w:rsidRDefault="0011604E" w:rsidP="007F33F3">
      <w:r>
        <w:separator/>
      </w:r>
    </w:p>
  </w:endnote>
  <w:endnote w:type="continuationSeparator" w:id="0">
    <w:p w:rsidR="0011604E" w:rsidRDefault="0011604E"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w:t>
    </w:r>
    <w:r w:rsidR="00B82FE2" w:rsidRPr="007F33F3">
      <w:rPr>
        <w:rFonts w:ascii="Times New Roman" w:hAnsi="Times New Roman" w:cs="Times New Roman"/>
        <w:spacing w:val="10"/>
        <w:sz w:val="18"/>
        <w:szCs w:val="18"/>
      </w:rPr>
      <w:t>4,</w:t>
    </w:r>
    <w:r w:rsidR="00B82FE2" w:rsidRPr="007F33F3">
      <w:rPr>
        <w:rFonts w:ascii="Times New Roman" w:eastAsia="SimSun" w:hAnsi="Times New Roman" w:cs="Times New Roman"/>
        <w:iCs/>
        <w:spacing w:val="10"/>
        <w:sz w:val="18"/>
        <w:szCs w:val="18"/>
        <w:lang w:val="fr-FR"/>
      </w:rPr>
      <w:t xml:space="preserve"> Fax</w:t>
    </w:r>
    <w:r w:rsidRPr="007F33F3">
      <w:rPr>
        <w:rFonts w:ascii="Times New Roman" w:eastAsia="SimSun" w:hAnsi="Times New Roman" w:cs="Times New Roman"/>
        <w:iCs/>
        <w:spacing w:val="10"/>
        <w:sz w:val="18"/>
        <w:szCs w:val="18"/>
        <w:lang w:val="fr-FR"/>
      </w:rPr>
      <w:t>: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2A5E46">
      <w:rPr>
        <w:rFonts w:ascii="Times New Roman" w:hAnsi="Times New Roman" w:cs="Times New Roman"/>
        <w:b/>
        <w:bCs/>
        <w:noProof/>
        <w:sz w:val="18"/>
        <w:szCs w:val="18"/>
      </w:rPr>
      <w:t>4</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sidR="00B63388">
      <w:rPr>
        <w:rFonts w:ascii="Times New Roman" w:hAnsi="Times New Roman" w:cs="Times New Roman"/>
        <w:b/>
        <w:bCs/>
        <w:sz w:val="18"/>
        <w:szCs w:val="18"/>
      </w:rPr>
      <w:t>3</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4E" w:rsidRDefault="0011604E" w:rsidP="007F33F3">
      <w:r>
        <w:separator/>
      </w:r>
    </w:p>
  </w:footnote>
  <w:footnote w:type="continuationSeparator" w:id="0">
    <w:p w:rsidR="0011604E" w:rsidRDefault="0011604E"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221"/>
    <w:multiLevelType w:val="hybridMultilevel"/>
    <w:tmpl w:val="7CAC4B1A"/>
    <w:lvl w:ilvl="0" w:tplc="2F9C00FA">
      <w:start w:val="8"/>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 w15:restartNumberingAfterBreak="0">
    <w:nsid w:val="18ED5F01"/>
    <w:multiLevelType w:val="hybridMultilevel"/>
    <w:tmpl w:val="DFF08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7805B9"/>
    <w:multiLevelType w:val="hybridMultilevel"/>
    <w:tmpl w:val="8E56E26A"/>
    <w:lvl w:ilvl="0" w:tplc="71540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861"/>
    <w:multiLevelType w:val="hybridMultilevel"/>
    <w:tmpl w:val="36C6AD58"/>
    <w:lvl w:ilvl="0" w:tplc="B3ECDAFE">
      <w:start w:val="2"/>
      <w:numFmt w:val="decimal"/>
      <w:lvlText w:val="%1."/>
      <w:lvlJc w:val="left"/>
      <w:pPr>
        <w:ind w:left="720" w:hanging="360"/>
      </w:pPr>
      <w:rPr>
        <w:rFonts w:hint="default"/>
        <w:i w:val="0"/>
        <w:iCs/>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0F6194A"/>
    <w:multiLevelType w:val="hybridMultilevel"/>
    <w:tmpl w:val="FA16D876"/>
    <w:lvl w:ilvl="0" w:tplc="57BC5770">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35D15C0C"/>
    <w:multiLevelType w:val="hybridMultilevel"/>
    <w:tmpl w:val="113EE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C7FA1"/>
    <w:multiLevelType w:val="hybridMultilevel"/>
    <w:tmpl w:val="D9900BC4"/>
    <w:lvl w:ilvl="0" w:tplc="2DE2BF3C">
      <w:start w:val="1"/>
      <w:numFmt w:val="lowerRoman"/>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8" w15:restartNumberingAfterBreak="0">
    <w:nsid w:val="3CE56AFB"/>
    <w:multiLevelType w:val="hybridMultilevel"/>
    <w:tmpl w:val="CCD2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50307"/>
    <w:multiLevelType w:val="hybridMultilevel"/>
    <w:tmpl w:val="B510CBC0"/>
    <w:lvl w:ilvl="0" w:tplc="271239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4B0F1E"/>
    <w:multiLevelType w:val="hybridMultilevel"/>
    <w:tmpl w:val="36362B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C749D5"/>
    <w:multiLevelType w:val="hybridMultilevel"/>
    <w:tmpl w:val="9ED2561A"/>
    <w:lvl w:ilvl="0" w:tplc="2F9C00FA">
      <w:start w:val="7"/>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5D2481"/>
    <w:multiLevelType w:val="hybridMultilevel"/>
    <w:tmpl w:val="5DFE3B98"/>
    <w:lvl w:ilvl="0" w:tplc="E326C3AA">
      <w:start w:val="1"/>
      <w:numFmt w:val="lowerRoman"/>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799478C2"/>
    <w:multiLevelType w:val="hybridMultilevel"/>
    <w:tmpl w:val="7388BA34"/>
    <w:lvl w:ilvl="0" w:tplc="3A842E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FA7D94"/>
    <w:multiLevelType w:val="hybridMultilevel"/>
    <w:tmpl w:val="BACE0EDA"/>
    <w:lvl w:ilvl="0" w:tplc="3A6CCEB8">
      <w:start w:val="2"/>
      <w:numFmt w:val="decimal"/>
      <w:lvlText w:val="%1."/>
      <w:lvlJc w:val="left"/>
      <w:pPr>
        <w:ind w:left="502" w:hanging="360"/>
      </w:pPr>
      <w:rPr>
        <w:rFonts w:hint="default"/>
        <w:i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0"/>
  </w:num>
  <w:num w:numId="13">
    <w:abstractNumId w:val="13"/>
  </w:num>
  <w:num w:numId="14">
    <w:abstractNumId w:val="4"/>
  </w:num>
  <w:num w:numId="15">
    <w:abstractNumId w:val="1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026638"/>
    <w:rsid w:val="00026F92"/>
    <w:rsid w:val="0005394E"/>
    <w:rsid w:val="000B0DAF"/>
    <w:rsid w:val="000C1646"/>
    <w:rsid w:val="000E0E3A"/>
    <w:rsid w:val="000E36EA"/>
    <w:rsid w:val="001127B2"/>
    <w:rsid w:val="0011604E"/>
    <w:rsid w:val="00130711"/>
    <w:rsid w:val="00140BDC"/>
    <w:rsid w:val="001459DF"/>
    <w:rsid w:val="00147622"/>
    <w:rsid w:val="00161A12"/>
    <w:rsid w:val="00161ABE"/>
    <w:rsid w:val="00162ACC"/>
    <w:rsid w:val="00177B50"/>
    <w:rsid w:val="001D1377"/>
    <w:rsid w:val="001E131E"/>
    <w:rsid w:val="002002B7"/>
    <w:rsid w:val="00202F2E"/>
    <w:rsid w:val="00213C34"/>
    <w:rsid w:val="00232B68"/>
    <w:rsid w:val="00253F20"/>
    <w:rsid w:val="00257956"/>
    <w:rsid w:val="002A5E46"/>
    <w:rsid w:val="002B3969"/>
    <w:rsid w:val="002C1608"/>
    <w:rsid w:val="002D7496"/>
    <w:rsid w:val="00314601"/>
    <w:rsid w:val="0032666A"/>
    <w:rsid w:val="00330790"/>
    <w:rsid w:val="0038799E"/>
    <w:rsid w:val="003A0195"/>
    <w:rsid w:val="003A76E4"/>
    <w:rsid w:val="003C01AF"/>
    <w:rsid w:val="00406E53"/>
    <w:rsid w:val="00453B91"/>
    <w:rsid w:val="004A4F88"/>
    <w:rsid w:val="004C3976"/>
    <w:rsid w:val="00520FB0"/>
    <w:rsid w:val="00541FC8"/>
    <w:rsid w:val="005448BC"/>
    <w:rsid w:val="00573416"/>
    <w:rsid w:val="005D1626"/>
    <w:rsid w:val="005D1DD2"/>
    <w:rsid w:val="005D5A6A"/>
    <w:rsid w:val="005F1525"/>
    <w:rsid w:val="00613502"/>
    <w:rsid w:val="0066173F"/>
    <w:rsid w:val="00661896"/>
    <w:rsid w:val="00676C58"/>
    <w:rsid w:val="006D6A98"/>
    <w:rsid w:val="006F24E1"/>
    <w:rsid w:val="006F33BE"/>
    <w:rsid w:val="00717CFF"/>
    <w:rsid w:val="00757157"/>
    <w:rsid w:val="007A5A94"/>
    <w:rsid w:val="007F33F3"/>
    <w:rsid w:val="007F53DA"/>
    <w:rsid w:val="00834E94"/>
    <w:rsid w:val="00841378"/>
    <w:rsid w:val="00850AE8"/>
    <w:rsid w:val="00880D90"/>
    <w:rsid w:val="0088646B"/>
    <w:rsid w:val="008907DD"/>
    <w:rsid w:val="00893D8C"/>
    <w:rsid w:val="008B20DE"/>
    <w:rsid w:val="008B3B13"/>
    <w:rsid w:val="008C3A32"/>
    <w:rsid w:val="008D6B6C"/>
    <w:rsid w:val="0090286D"/>
    <w:rsid w:val="009043D6"/>
    <w:rsid w:val="00920772"/>
    <w:rsid w:val="009315F4"/>
    <w:rsid w:val="0093606F"/>
    <w:rsid w:val="00963191"/>
    <w:rsid w:val="0098591D"/>
    <w:rsid w:val="009866C5"/>
    <w:rsid w:val="009A21F3"/>
    <w:rsid w:val="009E22B6"/>
    <w:rsid w:val="009E2B15"/>
    <w:rsid w:val="009F7602"/>
    <w:rsid w:val="00A31B95"/>
    <w:rsid w:val="00A5456F"/>
    <w:rsid w:val="00AA2072"/>
    <w:rsid w:val="00AB16A5"/>
    <w:rsid w:val="00AE5064"/>
    <w:rsid w:val="00B324FA"/>
    <w:rsid w:val="00B50B09"/>
    <w:rsid w:val="00B510EB"/>
    <w:rsid w:val="00B63388"/>
    <w:rsid w:val="00B82FE2"/>
    <w:rsid w:val="00BA5FA2"/>
    <w:rsid w:val="00BB2C3E"/>
    <w:rsid w:val="00C001ED"/>
    <w:rsid w:val="00C07E00"/>
    <w:rsid w:val="00C26D62"/>
    <w:rsid w:val="00C429B2"/>
    <w:rsid w:val="00C47181"/>
    <w:rsid w:val="00C9220B"/>
    <w:rsid w:val="00CC4639"/>
    <w:rsid w:val="00CD6207"/>
    <w:rsid w:val="00CF33A9"/>
    <w:rsid w:val="00CF45DE"/>
    <w:rsid w:val="00D134AA"/>
    <w:rsid w:val="00D25CA1"/>
    <w:rsid w:val="00D5538B"/>
    <w:rsid w:val="00D57CBB"/>
    <w:rsid w:val="00D63A7C"/>
    <w:rsid w:val="00D831E7"/>
    <w:rsid w:val="00DD56E1"/>
    <w:rsid w:val="00E334C5"/>
    <w:rsid w:val="00EA577D"/>
    <w:rsid w:val="00ED6926"/>
    <w:rsid w:val="00F421CF"/>
    <w:rsid w:val="00F604C5"/>
    <w:rsid w:val="00F6183A"/>
    <w:rsid w:val="00F73569"/>
    <w:rsid w:val="00F74156"/>
    <w:rsid w:val="00FB09A9"/>
    <w:rsid w:val="00FC436C"/>
    <w:rsid w:val="00FD6E1D"/>
    <w:rsid w:val="00FE3A85"/>
    <w:rsid w:val="00FE6A8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4:docId w14:val="3F4859DE"/>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link w:val="NoSpacingChar"/>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unhideWhenUsed/>
    <w:rsid w:val="007F33F3"/>
    <w:pPr>
      <w:spacing w:after="120"/>
    </w:pPr>
  </w:style>
  <w:style w:type="character" w:customStyle="1" w:styleId="BodyTextChar">
    <w:name w:val="Body Text Char"/>
    <w:basedOn w:val="DefaultParagraphFont"/>
    <w:link w:val="BodyText"/>
    <w:uiPriority w:val="99"/>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 w:type="paragraph" w:styleId="BodyText21">
    <w:name w:val="Body Text 2"/>
    <w:basedOn w:val="Normal"/>
    <w:link w:val="BodyText2Char"/>
    <w:uiPriority w:val="99"/>
    <w:semiHidden/>
    <w:unhideWhenUsed/>
    <w:rsid w:val="00FC436C"/>
    <w:pPr>
      <w:spacing w:after="120" w:line="480" w:lineRule="auto"/>
    </w:pPr>
  </w:style>
  <w:style w:type="character" w:customStyle="1" w:styleId="BodyText2Char">
    <w:name w:val="Body Text 2 Char"/>
    <w:basedOn w:val="DefaultParagraphFont"/>
    <w:link w:val="BodyText21"/>
    <w:uiPriority w:val="99"/>
    <w:semiHidden/>
    <w:rsid w:val="00FC436C"/>
    <w:rPr>
      <w:rFonts w:ascii="Arial" w:eastAsia="Times New Roman" w:hAnsi="Arial" w:cs="Arial"/>
      <w:sz w:val="24"/>
      <w:szCs w:val="24"/>
      <w:lang w:val="en-US"/>
    </w:rPr>
  </w:style>
  <w:style w:type="paragraph" w:customStyle="1" w:styleId="Style1">
    <w:name w:val="Style 1"/>
    <w:basedOn w:val="Normal"/>
    <w:uiPriority w:val="99"/>
    <w:rsid w:val="0038799E"/>
    <w:pPr>
      <w:widowControl w:val="0"/>
      <w:autoSpaceDE w:val="0"/>
      <w:autoSpaceDN w:val="0"/>
      <w:adjustRightInd w:val="0"/>
    </w:pPr>
    <w:rPr>
      <w:rFonts w:ascii="Times New Roman" w:hAnsi="Times New Roman" w:cs="Times New Roman"/>
      <w:sz w:val="20"/>
      <w:szCs w:val="20"/>
    </w:rPr>
  </w:style>
  <w:style w:type="character" w:customStyle="1" w:styleId="NoSpacingChar">
    <w:name w:val="No Spacing Char"/>
    <w:link w:val="NoSpacing"/>
    <w:uiPriority w:val="1"/>
    <w:locked/>
    <w:rsid w:val="0038799E"/>
    <w:rPr>
      <w:rFonts w:ascii="Arial" w:eastAsia="Times New Roman" w:hAnsi="Arial" w:cs="Arial"/>
      <w:sz w:val="24"/>
      <w:szCs w:val="24"/>
      <w:lang w:val="en-US"/>
    </w:rPr>
  </w:style>
  <w:style w:type="table" w:customStyle="1" w:styleId="TableGrid1">
    <w:name w:val="Table Grid1"/>
    <w:basedOn w:val="TableNormal"/>
    <w:next w:val="TableGrid"/>
    <w:uiPriority w:val="59"/>
    <w:rsid w:val="00C001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Rizwan-ul-Haq</cp:lastModifiedBy>
  <cp:revision>2</cp:revision>
  <dcterms:created xsi:type="dcterms:W3CDTF">2022-10-17T08:02:00Z</dcterms:created>
  <dcterms:modified xsi:type="dcterms:W3CDTF">2022-10-17T08:02:00Z</dcterms:modified>
</cp:coreProperties>
</file>