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286B84">
        <w:rPr>
          <w:rFonts w:ascii="Times New Roman" w:hAnsi="Times New Roman" w:cs="Times New Roman"/>
          <w:b/>
          <w:bCs/>
          <w:sz w:val="22"/>
          <w:szCs w:val="22"/>
          <w:u w:val="single"/>
        </w:rPr>
        <w:t xml:space="preserve"> Pervez Ahmed</w:t>
      </w:r>
      <w:r w:rsidR="009E6CF6">
        <w:rPr>
          <w:rFonts w:ascii="Times New Roman" w:hAnsi="Times New Roman" w:cs="Times New Roman"/>
          <w:b/>
          <w:bCs/>
          <w:sz w:val="22"/>
          <w:szCs w:val="22"/>
          <w:u w:val="single"/>
        </w:rPr>
        <w:t xml:space="preserve"> </w:t>
      </w:r>
      <w:r w:rsidR="00C93D16">
        <w:rPr>
          <w:rFonts w:ascii="Times New Roman" w:hAnsi="Times New Roman" w:cs="Times New Roman"/>
          <w:b/>
          <w:bCs/>
          <w:sz w:val="22"/>
          <w:szCs w:val="22"/>
          <w:u w:val="single"/>
        </w:rPr>
        <w:t xml:space="preserve">Securities </w:t>
      </w:r>
      <w:r w:rsidR="00286B84">
        <w:rPr>
          <w:rFonts w:ascii="Times New Roman" w:hAnsi="Times New Roman" w:cs="Times New Roman"/>
          <w:b/>
          <w:bCs/>
          <w:sz w:val="22"/>
          <w:szCs w:val="22"/>
          <w:u w:val="single"/>
        </w:rPr>
        <w:t>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286B84">
        <w:trPr>
          <w:trHeight w:hRule="exact" w:val="857"/>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286B84" w:rsidRDefault="00286B84" w:rsidP="00756682">
            <w:pPr>
              <w:rPr>
                <w:rFonts w:ascii="Times New Roman" w:hAnsi="Times New Roman" w:cs="Times New Roman"/>
                <w:sz w:val="20"/>
                <w:szCs w:val="20"/>
                <w:highlight w:val="yellow"/>
              </w:rPr>
            </w:pPr>
            <w:r w:rsidRPr="00286B84">
              <w:rPr>
                <w:rFonts w:ascii="Times New Roman" w:hAnsi="Times New Roman" w:cs="Times New Roman"/>
                <w:sz w:val="20"/>
                <w:szCs w:val="20"/>
              </w:rPr>
              <w:t xml:space="preserve">September 18, 2020, October 06, 2020, December 14, 2020, January 14, 2021, February 01, 2021, August 12, 2021, September 06, 2021, October 04, 2021 </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bookmarkStart w:id="0" w:name="_Hlk120090541"/>
      <w:r w:rsidR="00286B84" w:rsidRPr="00286B84">
        <w:rPr>
          <w:rFonts w:ascii="Times New Roman" w:hAnsi="Times New Roman" w:cs="Times New Roman"/>
          <w:sz w:val="20"/>
          <w:szCs w:val="20"/>
        </w:rPr>
        <w:t>December 28, 2021</w:t>
      </w:r>
      <w:r w:rsidR="00DF01C5" w:rsidRPr="00A87E01">
        <w:rPr>
          <w:rFonts w:ascii="Times New Roman" w:hAnsi="Times New Roman" w:cs="Times New Roman"/>
          <w:sz w:val="20"/>
          <w:szCs w:val="20"/>
        </w:rPr>
        <w:t xml:space="preserve"> </w:t>
      </w:r>
      <w:bookmarkEnd w:id="0"/>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286B84" w:rsidRPr="00286B84">
        <w:rPr>
          <w:rFonts w:ascii="Times New Roman" w:hAnsi="Times New Roman" w:cs="Times New Roman"/>
          <w:bCs/>
          <w:sz w:val="20"/>
          <w:szCs w:val="20"/>
        </w:rPr>
        <w:t>P</w:t>
      </w:r>
      <w:r w:rsidR="00286B84">
        <w:rPr>
          <w:rFonts w:ascii="Times New Roman" w:hAnsi="Times New Roman" w:cs="Times New Roman"/>
          <w:bCs/>
          <w:sz w:val="20"/>
          <w:szCs w:val="20"/>
        </w:rPr>
        <w:t>e</w:t>
      </w:r>
      <w:r w:rsidR="00286B84" w:rsidRPr="00286B84">
        <w:rPr>
          <w:rFonts w:ascii="Times New Roman" w:hAnsi="Times New Roman" w:cs="Times New Roman"/>
          <w:bCs/>
          <w:sz w:val="20"/>
          <w:szCs w:val="20"/>
        </w:rPr>
        <w:t>rvez Ahmed Securities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bookmarkStart w:id="1" w:name="_Hlk120090553"/>
            <w:r w:rsidR="00286B84" w:rsidRPr="00286B84">
              <w:rPr>
                <w:rFonts w:ascii="Times New Roman" w:hAnsi="Times New Roman" w:cs="Times New Roman"/>
                <w:sz w:val="20"/>
                <w:szCs w:val="20"/>
              </w:rPr>
              <w:t>January 25, 2019</w:t>
            </w:r>
            <w:bookmarkEnd w:id="1"/>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286B84" w:rsidRDefault="00286B84" w:rsidP="00B96DEA">
            <w:pPr>
              <w:jc w:val="both"/>
              <w:rPr>
                <w:rFonts w:ascii="Times New Roman" w:hAnsi="Times New Roman" w:cs="Times New Roman"/>
                <w:sz w:val="20"/>
                <w:szCs w:val="20"/>
              </w:rPr>
            </w:pPr>
            <w:bookmarkStart w:id="2" w:name="_Hlk120090566"/>
            <w:bookmarkStart w:id="3" w:name="_GoBack"/>
            <w:r w:rsidRPr="00286B84">
              <w:rPr>
                <w:rFonts w:ascii="Times New Roman" w:hAnsi="Times New Roman" w:cs="Times New Roman"/>
                <w:sz w:val="20"/>
                <w:szCs w:val="20"/>
              </w:rPr>
              <w:t xml:space="preserve">Pervez Ahmed </w:t>
            </w:r>
            <w:r w:rsidR="00C93D16">
              <w:rPr>
                <w:rFonts w:ascii="Times New Roman" w:hAnsi="Times New Roman" w:cs="Times New Roman"/>
                <w:sz w:val="20"/>
                <w:szCs w:val="20"/>
              </w:rPr>
              <w:t>Securities</w:t>
            </w:r>
            <w:r w:rsidRPr="00286B84">
              <w:rPr>
                <w:rFonts w:ascii="Times New Roman" w:hAnsi="Times New Roman" w:cs="Times New Roman"/>
                <w:sz w:val="20"/>
                <w:szCs w:val="20"/>
              </w:rPr>
              <w:t xml:space="preserve"> Limited</w:t>
            </w:r>
            <w:bookmarkEnd w:id="2"/>
            <w:bookmarkEnd w:id="3"/>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The proceedings were initiated against the</w:t>
            </w:r>
            <w:r w:rsidR="00286B84">
              <w:rPr>
                <w:rFonts w:ascii="Times New Roman" w:hAnsi="Times New Roman" w:cs="Times New Roman"/>
                <w:sz w:val="20"/>
                <w:szCs w:val="20"/>
              </w:rPr>
              <w:t xml:space="preserve"> </w:t>
            </w:r>
            <w:r w:rsidR="00A44454">
              <w:rPr>
                <w:rFonts w:ascii="Times New Roman" w:hAnsi="Times New Roman" w:cs="Times New Roman"/>
                <w:sz w:val="20"/>
                <w:szCs w:val="20"/>
              </w:rPr>
              <w:t>Board of</w:t>
            </w:r>
            <w:r w:rsidR="00A44454" w:rsidRPr="00286B84">
              <w:rPr>
                <w:rFonts w:ascii="Times New Roman" w:hAnsi="Times New Roman" w:cs="Times New Roman"/>
                <w:sz w:val="20"/>
                <w:szCs w:val="20"/>
              </w:rPr>
              <w:t xml:space="preserve"> </w:t>
            </w:r>
            <w:r w:rsidRPr="00286B84">
              <w:rPr>
                <w:rFonts w:ascii="Times New Roman" w:hAnsi="Times New Roman" w:cs="Times New Roman"/>
                <w:sz w:val="20"/>
                <w:szCs w:val="20"/>
              </w:rPr>
              <w:t>Directors</w:t>
            </w:r>
            <w:r w:rsidR="00301B68" w:rsidRPr="00286B84">
              <w:rPr>
                <w:rFonts w:ascii="Times New Roman" w:hAnsi="Times New Roman" w:cs="Times New Roman"/>
                <w:sz w:val="20"/>
                <w:szCs w:val="20"/>
              </w:rPr>
              <w:t>.</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286B84" w:rsidP="004067CD">
            <w:pPr>
              <w:pStyle w:val="BodyText"/>
              <w:spacing w:after="0"/>
              <w:jc w:val="both"/>
              <w:rPr>
                <w:rFonts w:ascii="Times New Roman" w:hAnsi="Times New Roman" w:cs="Times New Roman"/>
                <w:bCs/>
                <w:sz w:val="20"/>
                <w:szCs w:val="20"/>
              </w:rPr>
            </w:pPr>
            <w:r w:rsidRPr="002455FE">
              <w:rPr>
                <w:rFonts w:ascii="Times New Roman" w:hAnsi="Times New Roman" w:cs="Times New Roman"/>
                <w:bCs/>
                <w:sz w:val="20"/>
                <w:szCs w:val="20"/>
              </w:rPr>
              <w:t>Under Section 84 read with Section 498 of the Companies Ordinance, 1984 and S.</w:t>
            </w:r>
            <w:r w:rsidR="002455FE">
              <w:rPr>
                <w:rFonts w:ascii="Times New Roman" w:hAnsi="Times New Roman" w:cs="Times New Roman"/>
                <w:bCs/>
                <w:sz w:val="20"/>
                <w:szCs w:val="20"/>
              </w:rPr>
              <w:t>R</w:t>
            </w:r>
            <w:r w:rsidRPr="002455FE">
              <w:rPr>
                <w:rFonts w:ascii="Times New Roman" w:hAnsi="Times New Roman" w:cs="Times New Roman"/>
                <w:bCs/>
                <w:sz w:val="20"/>
                <w:szCs w:val="20"/>
              </w:rPr>
              <w:t>.</w:t>
            </w:r>
            <w:r w:rsidR="002455FE" w:rsidRPr="002455FE">
              <w:rPr>
                <w:rFonts w:ascii="Times New Roman" w:hAnsi="Times New Roman" w:cs="Times New Roman"/>
                <w:bCs/>
                <w:sz w:val="20"/>
                <w:szCs w:val="20"/>
              </w:rPr>
              <w:t>O 975(1)/2009 (Section 82 read with Section 502 of Companies Act, 2017 and S.R.O. 975(1)/2009)</w:t>
            </w:r>
          </w:p>
        </w:tc>
      </w:tr>
      <w:tr w:rsidR="000E41DC" w:rsidRPr="00A87E01" w:rsidTr="00ED0C79">
        <w:tc>
          <w:tcPr>
            <w:tcW w:w="2605" w:type="dxa"/>
            <w:shd w:val="clear" w:color="auto" w:fill="auto"/>
          </w:tcPr>
          <w:p w:rsidR="00CC3C9B" w:rsidRPr="002455FE" w:rsidRDefault="00CC3C9B" w:rsidP="00D60C49">
            <w:pPr>
              <w:pStyle w:val="NoSpacing"/>
              <w:numPr>
                <w:ilvl w:val="0"/>
                <w:numId w:val="41"/>
              </w:numPr>
              <w:rPr>
                <w:rFonts w:ascii="Times New Roman" w:hAnsi="Times New Roman" w:cs="Times New Roman"/>
                <w:sz w:val="20"/>
                <w:szCs w:val="20"/>
              </w:rPr>
            </w:pPr>
            <w:r w:rsidRPr="002455FE">
              <w:rPr>
                <w:rFonts w:ascii="Times New Roman" w:hAnsi="Times New Roman" w:cs="Times New Roman"/>
                <w:sz w:val="20"/>
                <w:szCs w:val="20"/>
              </w:rPr>
              <w:t>Action</w:t>
            </w:r>
            <w:r w:rsidR="00DF01C5" w:rsidRPr="002455FE">
              <w:rPr>
                <w:rFonts w:ascii="Times New Roman" w:hAnsi="Times New Roman" w:cs="Times New Roman"/>
                <w:sz w:val="20"/>
                <w:szCs w:val="20"/>
              </w:rPr>
              <w:t xml:space="preserve"> </w:t>
            </w:r>
            <w:r w:rsidRPr="002455FE">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2455FE" w:rsidRDefault="002455FE"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2455FE" w:rsidRPr="002455FE" w:rsidRDefault="00A44454" w:rsidP="004067CD">
            <w:pPr>
              <w:spacing w:after="8" w:line="334" w:lineRule="auto"/>
              <w:ind w:left="9" w:hanging="10"/>
              <w:jc w:val="both"/>
              <w:rPr>
                <w:sz w:val="20"/>
                <w:szCs w:val="20"/>
              </w:rPr>
            </w:pPr>
            <w:r>
              <w:rPr>
                <w:rFonts w:ascii="Times New Roman" w:hAnsi="Times New Roman" w:cs="Times New Roman"/>
                <w:sz w:val="20"/>
                <w:szCs w:val="20"/>
              </w:rPr>
              <w:t>A</w:t>
            </w:r>
            <w:r w:rsidR="002455FE" w:rsidRPr="002455FE">
              <w:rPr>
                <w:rFonts w:ascii="Times New Roman" w:hAnsi="Times New Roman" w:cs="Times New Roman"/>
                <w:sz w:val="20"/>
                <w:szCs w:val="20"/>
              </w:rPr>
              <w:t>fter careful consideration of all the facts of the case, I am of the view that provisions of Section 84 of the Ordinance have been contravened and the Respondents are liable under Section 498 of the Ordinance. In exercise of the powers conferred under the said provision, I hereby impose cumulative penalty of Rs. 140,000 (Rupees one hundred and forty thousand only) on the Respondents. I further give direction that the right issue of the Company announced in year 2012 be considered cancelled with effect from date of this Order.</w:t>
            </w:r>
          </w:p>
          <w:p w:rsidR="002455FE" w:rsidRPr="002455FE" w:rsidRDefault="002455FE" w:rsidP="00F92A04">
            <w:pPr>
              <w:pStyle w:val="Default"/>
              <w:rPr>
                <w:rFonts w:ascii="Times New Roman" w:eastAsia="Times New Roman" w:hAnsi="Times New Roman" w:cs="Times New Roman"/>
              </w:rPr>
            </w:pPr>
            <w:r>
              <w:rPr>
                <w:rFonts w:ascii="Times New Roman" w:eastAsia="Times New Roman" w:hAnsi="Times New Roman" w:cs="Times New Roman"/>
              </w:rPr>
              <w:t xml:space="preserve"> </w:t>
            </w:r>
          </w:p>
          <w:p w:rsidR="006E1B88" w:rsidRPr="00977F7F" w:rsidRDefault="00977F7F" w:rsidP="00977F7F">
            <w:pPr>
              <w:spacing w:after="3" w:line="276" w:lineRule="auto"/>
              <w:ind w:right="21"/>
              <w:jc w:val="both"/>
              <w:rPr>
                <w:sz w:val="20"/>
                <w:szCs w:val="20"/>
              </w:rPr>
            </w:pPr>
            <w:r w:rsidRPr="00977F7F">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A44454" w:rsidP="00F92A04">
            <w:pPr>
              <w:pStyle w:val="Default"/>
              <w:jc w:val="both"/>
              <w:rPr>
                <w:rFonts w:ascii="Times New Roman" w:hAnsi="Times New Roman" w:cs="Times New Roman"/>
                <w:sz w:val="20"/>
                <w:szCs w:val="20"/>
              </w:rPr>
            </w:pPr>
            <w:r>
              <w:rPr>
                <w:rFonts w:ascii="Times New Roman" w:hAnsi="Times New Roman" w:cs="Times New Roman"/>
                <w:sz w:val="20"/>
                <w:szCs w:val="20"/>
              </w:rPr>
              <w:t>Cumulative</w:t>
            </w:r>
            <w:r w:rsidRPr="00A87E01">
              <w:rPr>
                <w:rFonts w:ascii="Times New Roman" w:hAnsi="Times New Roman" w:cs="Times New Roman"/>
                <w:sz w:val="20"/>
                <w:szCs w:val="20"/>
              </w:rPr>
              <w:t xml:space="preserve"> </w:t>
            </w:r>
            <w:r w:rsidR="00F92A04" w:rsidRPr="00A87E01">
              <w:rPr>
                <w:rFonts w:ascii="Times New Roman" w:hAnsi="Times New Roman" w:cs="Times New Roman"/>
                <w:sz w:val="20"/>
                <w:szCs w:val="20"/>
              </w:rPr>
              <w:t xml:space="preserve">Penalty of Rs. </w:t>
            </w:r>
            <w:r w:rsidR="00977F7F">
              <w:rPr>
                <w:rFonts w:ascii="Times New Roman" w:hAnsi="Times New Roman" w:cs="Times New Roman"/>
                <w:sz w:val="20"/>
                <w:szCs w:val="20"/>
              </w:rPr>
              <w:t>1</w:t>
            </w:r>
            <w:r w:rsidR="002455FE">
              <w:rPr>
                <w:rFonts w:ascii="Times New Roman" w:hAnsi="Times New Roman" w:cs="Times New Roman"/>
                <w:sz w:val="20"/>
                <w:szCs w:val="20"/>
              </w:rPr>
              <w:t>40</w:t>
            </w:r>
            <w:r w:rsidR="00F92A04" w:rsidRPr="00A87E01">
              <w:rPr>
                <w:rFonts w:ascii="Times New Roman" w:hAnsi="Times New Roman" w:cs="Times New Roman"/>
                <w:sz w:val="20"/>
                <w:szCs w:val="20"/>
              </w:rPr>
              <w:t xml:space="preserve">,000/- (Rupees </w:t>
            </w:r>
            <w:r w:rsidR="002455FE">
              <w:rPr>
                <w:rFonts w:ascii="Times New Roman" w:hAnsi="Times New Roman" w:cs="Times New Roman"/>
                <w:sz w:val="20"/>
                <w:szCs w:val="20"/>
              </w:rPr>
              <w:t>One hundred and forty</w:t>
            </w:r>
            <w:r w:rsidR="00F92A04" w:rsidRPr="00A87E01">
              <w:rPr>
                <w:rFonts w:ascii="Times New Roman" w:hAnsi="Times New Roman" w:cs="Times New Roman"/>
                <w:sz w:val="20"/>
                <w:szCs w:val="20"/>
              </w:rPr>
              <w:t xml:space="preserve"> thousand only) was imposed on the Respondents. </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B71DC6">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1B" w:rsidRDefault="00690B1B" w:rsidP="009F3AF3">
      <w:r>
        <w:separator/>
      </w:r>
    </w:p>
  </w:endnote>
  <w:endnote w:type="continuationSeparator" w:id="0">
    <w:p w:rsidR="00690B1B" w:rsidRDefault="00690B1B"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1B" w:rsidRDefault="00690B1B" w:rsidP="009F3AF3">
      <w:r>
        <w:separator/>
      </w:r>
    </w:p>
  </w:footnote>
  <w:footnote w:type="continuationSeparator" w:id="0">
    <w:p w:rsidR="00690B1B" w:rsidRDefault="00690B1B"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690B1B"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4" w:name="_Hlk118279826"/>
                          <w:bookmarkStart w:id="5" w:name="_Hlk118279827"/>
                          <w:r>
                            <w:rPr>
                              <w:rFonts w:ascii="Times New Roman" w:hAnsi="Times New Roman" w:cs="Times New Roman"/>
                              <w:b/>
                              <w:color w:val="116C65"/>
                            </w:rPr>
                            <w:t xml:space="preserve">  Adjudication Division</w:t>
                          </w:r>
                          <w:bookmarkEnd w:id="4"/>
                          <w:bookmarkEnd w:id="5"/>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4" w:name="_Hlk118279826"/>
                    <w:bookmarkStart w:id="15" w:name="_Hlk118279827"/>
                    <w:r>
                      <w:rPr>
                        <w:rFonts w:ascii="Times New Roman" w:hAnsi="Times New Roman" w:cs="Times New Roman"/>
                        <w:b/>
                        <w:color w:val="116C65"/>
                      </w:rPr>
                      <w:t xml:space="preserve">  Adjudication Division</w:t>
                    </w:r>
                    <w:bookmarkEnd w:id="14"/>
                    <w:bookmarkEnd w:id="15"/>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6" w:name="_Hlk118279845"/>
                          <w:bookmarkStart w:id="7" w:name="_Hlk118279846"/>
                          <w:r>
                            <w:rPr>
                              <w:rFonts w:ascii="Times New Roman" w:hAnsi="Times New Roman" w:cs="Times New Roman"/>
                              <w:b/>
                              <w:color w:val="116C65"/>
                            </w:rPr>
                            <w:t>Adjudication Department</w:t>
                          </w:r>
                          <w:bookmarkEnd w:id="6"/>
                          <w:bookmarkEnd w:id="7"/>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8" w:name="_Hlk118279845"/>
                    <w:bookmarkStart w:id="19" w:name="_Hlk118279846"/>
                    <w:r>
                      <w:rPr>
                        <w:rFonts w:ascii="Times New Roman" w:hAnsi="Times New Roman" w:cs="Times New Roman"/>
                        <w:b/>
                        <w:color w:val="116C65"/>
                      </w:rPr>
                      <w:t>Adjudication Department</w:t>
                    </w:r>
                    <w:bookmarkEnd w:id="18"/>
                    <w:bookmarkEnd w:id="19"/>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8" w:name="_Hlk118279795"/>
                          <w:bookmarkStart w:id="9" w:name="_Hlk118279796"/>
                          <w:r>
                            <w:rPr>
                              <w:rFonts w:ascii="Times New Roman" w:hAnsi="Times New Roman" w:cs="Times New Roman"/>
                              <w:b/>
                              <w:color w:val="116C65"/>
                              <w:sz w:val="34"/>
                            </w:rPr>
                            <w:t xml:space="preserve">     Securities and Exchange Commission of Pakistan</w:t>
                          </w:r>
                          <w:bookmarkEnd w:id="8"/>
                          <w:bookmarkEnd w:id="9"/>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2" w:name="_Hlk118279795"/>
                    <w:bookmarkStart w:id="23" w:name="_Hlk118279796"/>
                    <w:r>
                      <w:rPr>
                        <w:rFonts w:ascii="Times New Roman" w:hAnsi="Times New Roman" w:cs="Times New Roman"/>
                        <w:b/>
                        <w:color w:val="116C65"/>
                        <w:sz w:val="34"/>
                      </w:rPr>
                      <w:t xml:space="preserve">     Securities and Exchange Commission of Pakistan</w:t>
                    </w:r>
                    <w:bookmarkEnd w:id="22"/>
                    <w:bookmarkEnd w:id="23"/>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7"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2"/>
  </w:num>
  <w:num w:numId="10">
    <w:abstractNumId w:val="3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0"/>
  </w:num>
  <w:num w:numId="41">
    <w:abstractNumId w:val="7"/>
  </w:num>
  <w:num w:numId="42">
    <w:abstractNumId w:val="31"/>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5FE"/>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B84"/>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17F5D"/>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67C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0B1B"/>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77439"/>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6CF6"/>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4454"/>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3D16"/>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4D6B-FF9A-4AAF-8F16-8DA5D9BD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2022-11-23T05:10:00Z</dcterms:created>
  <dcterms:modified xsi:type="dcterms:W3CDTF">2022-11-23T05:10:00Z</dcterms:modified>
</cp:coreProperties>
</file>