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F4FE"/>
  <w:body>
    <w:p w:rsidR="007F33F3" w:rsidRPr="003C01AF" w:rsidRDefault="007F33F3" w:rsidP="007F33F3">
      <w:pPr>
        <w:jc w:val="center"/>
        <w:rPr>
          <w:rFonts w:ascii="Palatino Linotype" w:hAnsi="Palatino Linotype" w:cstheme="majorBidi"/>
          <w:b/>
          <w:bCs/>
          <w:u w:val="single"/>
        </w:rPr>
      </w:pPr>
      <w:r w:rsidRPr="003C01AF">
        <w:rPr>
          <w:rFonts w:ascii="Palatino Linotype" w:hAnsi="Palatino Linotype" w:cstheme="majorBidi"/>
          <w:b/>
          <w:bCs/>
          <w:u w:val="single"/>
        </w:rPr>
        <w:t>Before Ali Azeem Ikram, Executive Director/HOD (Adjudication-I)</w:t>
      </w:r>
    </w:p>
    <w:p w:rsidR="007F33F3" w:rsidRPr="008864AE" w:rsidRDefault="007F33F3" w:rsidP="007F33F3">
      <w:pPr>
        <w:jc w:val="both"/>
        <w:rPr>
          <w:rFonts w:ascii="Palatino Linotype" w:hAnsi="Palatino Linotype" w:cstheme="majorBidi"/>
          <w:b/>
          <w:bCs/>
          <w:u w:val="single"/>
        </w:rPr>
      </w:pPr>
    </w:p>
    <w:p w:rsidR="007F33F3" w:rsidRPr="008864AE" w:rsidRDefault="007F33F3" w:rsidP="007F33F3">
      <w:pPr>
        <w:tabs>
          <w:tab w:val="left" w:pos="1080"/>
        </w:tabs>
        <w:jc w:val="center"/>
        <w:rPr>
          <w:rFonts w:ascii="Palatino Linotype" w:hAnsi="Palatino Linotype"/>
          <w:b/>
          <w:u w:val="single"/>
        </w:rPr>
      </w:pPr>
      <w:r w:rsidRPr="008864AE">
        <w:rPr>
          <w:rFonts w:ascii="Palatino Linotype" w:hAnsi="Palatino Linotype" w:cstheme="majorBidi"/>
          <w:b/>
          <w:bCs/>
          <w:u w:val="single"/>
        </w:rPr>
        <w:t xml:space="preserve">In the matter of </w:t>
      </w:r>
      <w:r w:rsidR="00337E9A">
        <w:rPr>
          <w:rFonts w:ascii="Palatino Linotype" w:hAnsi="Palatino Linotype"/>
          <w:b/>
          <w:u w:val="single"/>
        </w:rPr>
        <w:t>Yousaf Weaving Mills</w:t>
      </w:r>
      <w:r w:rsidRPr="008864AE">
        <w:rPr>
          <w:rFonts w:ascii="Palatino Linotype" w:hAnsi="Palatino Linotype"/>
          <w:b/>
          <w:u w:val="single"/>
        </w:rPr>
        <w:t xml:space="preserve"> Limited</w:t>
      </w:r>
    </w:p>
    <w:p w:rsidR="007F33F3" w:rsidRPr="008864AE" w:rsidRDefault="007F33F3" w:rsidP="007F33F3">
      <w:pPr>
        <w:tabs>
          <w:tab w:val="left" w:pos="1080"/>
        </w:tabs>
        <w:jc w:val="center"/>
        <w:rPr>
          <w:rFonts w:ascii="Palatino Linotype" w:hAnsi="Palatino Linotype" w:cstheme="majorBidi"/>
          <w:b/>
          <w:bCs/>
          <w:sz w:val="22"/>
          <w:szCs w:val="22"/>
          <w:u w:val="single"/>
        </w:rPr>
      </w:pPr>
    </w:p>
    <w:p w:rsidR="007F33F3" w:rsidRPr="008864AE" w:rsidRDefault="007F33F3" w:rsidP="007F33F3">
      <w:pPr>
        <w:jc w:val="both"/>
        <w:rPr>
          <w:rFonts w:ascii="Palatino Linotype" w:hAnsi="Palatino Linotype" w:cstheme="majorBidi"/>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7F33F3" w:rsidRPr="008864AE" w:rsidTr="00991511">
        <w:trPr>
          <w:trHeight w:hRule="exact" w:val="965"/>
        </w:trPr>
        <w:tc>
          <w:tcPr>
            <w:tcW w:w="4717" w:type="dxa"/>
            <w:tcBorders>
              <w:bottom w:val="single" w:sz="4" w:space="0" w:color="auto"/>
            </w:tcBorders>
            <w:vAlign w:val="center"/>
          </w:tcPr>
          <w:p w:rsidR="007F33F3" w:rsidRPr="008864AE" w:rsidRDefault="007F33F3" w:rsidP="00991511">
            <w:pPr>
              <w:tabs>
                <w:tab w:val="left" w:pos="9450"/>
              </w:tabs>
              <w:ind w:right="75"/>
              <w:jc w:val="both"/>
              <w:outlineLvl w:val="0"/>
              <w:rPr>
                <w:rFonts w:ascii="Palatino Linotype" w:hAnsi="Palatino Linotype" w:cstheme="majorBidi"/>
                <w:bCs/>
                <w:sz w:val="22"/>
                <w:szCs w:val="22"/>
              </w:rPr>
            </w:pPr>
            <w:r w:rsidRPr="008864AE">
              <w:rPr>
                <w:rFonts w:ascii="Palatino Linotype" w:hAnsi="Palatino Linotype" w:cstheme="majorBidi"/>
                <w:bCs/>
                <w:sz w:val="22"/>
                <w:szCs w:val="22"/>
              </w:rPr>
              <w:t>Date</w:t>
            </w:r>
            <w:r>
              <w:rPr>
                <w:rFonts w:ascii="Palatino Linotype" w:hAnsi="Palatino Linotype" w:cstheme="majorBidi"/>
                <w:bCs/>
                <w:sz w:val="22"/>
                <w:szCs w:val="22"/>
              </w:rPr>
              <w:t>s</w:t>
            </w:r>
            <w:r w:rsidRPr="008864AE">
              <w:rPr>
                <w:rFonts w:ascii="Palatino Linotype" w:hAnsi="Palatino Linotype" w:cstheme="majorBidi"/>
                <w:bCs/>
                <w:sz w:val="22"/>
                <w:szCs w:val="22"/>
              </w:rPr>
              <w:t xml:space="preserve"> of Hearing</w:t>
            </w:r>
          </w:p>
        </w:tc>
        <w:tc>
          <w:tcPr>
            <w:tcW w:w="4624" w:type="dxa"/>
            <w:tcBorders>
              <w:bottom w:val="single" w:sz="4" w:space="0" w:color="auto"/>
            </w:tcBorders>
            <w:vAlign w:val="center"/>
          </w:tcPr>
          <w:p w:rsidR="00921B95" w:rsidRDefault="00921B95" w:rsidP="00921B95">
            <w:pPr>
              <w:pStyle w:val="NormalWeb"/>
              <w:jc w:val="both"/>
              <w:rPr>
                <w:rFonts w:ascii="Palatino Linotype" w:hAnsi="Palatino Linotype"/>
                <w:sz w:val="22"/>
                <w:szCs w:val="22"/>
              </w:rPr>
            </w:pPr>
          </w:p>
          <w:p w:rsidR="00921B95" w:rsidRDefault="00921B95" w:rsidP="00921B95">
            <w:pPr>
              <w:pStyle w:val="NormalWeb"/>
              <w:jc w:val="both"/>
              <w:rPr>
                <w:rFonts w:ascii="Palatino Linotype" w:hAnsi="Palatino Linotype"/>
                <w:sz w:val="22"/>
                <w:szCs w:val="22"/>
              </w:rPr>
            </w:pPr>
            <w:r>
              <w:rPr>
                <w:rFonts w:ascii="Palatino Linotype" w:hAnsi="Palatino Linotype"/>
                <w:sz w:val="22"/>
                <w:szCs w:val="22"/>
              </w:rPr>
              <w:t>May 5, 2020, July 3, 2020, September 1, 2020, September 23, 2020, November 16, 2020</w:t>
            </w:r>
          </w:p>
          <w:p w:rsidR="007F33F3" w:rsidRDefault="007F33F3" w:rsidP="00991511">
            <w:pPr>
              <w:pStyle w:val="NormalWeb"/>
              <w:jc w:val="both"/>
              <w:rPr>
                <w:rFonts w:ascii="Palatino Linotype" w:hAnsi="Palatino Linotype"/>
                <w:sz w:val="22"/>
                <w:szCs w:val="22"/>
              </w:rPr>
            </w:pPr>
          </w:p>
          <w:p w:rsidR="007F33F3" w:rsidRPr="008864AE" w:rsidRDefault="007F33F3" w:rsidP="00337E9A">
            <w:pPr>
              <w:pStyle w:val="NormalWeb"/>
              <w:jc w:val="both"/>
              <w:rPr>
                <w:rFonts w:ascii="Palatino Linotype" w:hAnsi="Palatino Linotype"/>
                <w:sz w:val="22"/>
                <w:szCs w:val="22"/>
              </w:rPr>
            </w:pPr>
          </w:p>
        </w:tc>
      </w:tr>
    </w:tbl>
    <w:p w:rsidR="007F33F3" w:rsidRPr="008864AE" w:rsidRDefault="007F33F3" w:rsidP="007F33F3">
      <w:pPr>
        <w:jc w:val="both"/>
        <w:rPr>
          <w:rFonts w:ascii="Palatino Linotype" w:hAnsi="Palatino Linotype" w:cstheme="majorBidi"/>
          <w:b/>
          <w:sz w:val="22"/>
          <w:szCs w:val="22"/>
        </w:rPr>
      </w:pPr>
    </w:p>
    <w:p w:rsidR="007F33F3" w:rsidRPr="008864AE" w:rsidRDefault="007F33F3" w:rsidP="007F33F3">
      <w:pPr>
        <w:jc w:val="center"/>
        <w:rPr>
          <w:rFonts w:ascii="Palatino Linotype" w:hAnsi="Palatino Linotype" w:cstheme="majorBidi"/>
          <w:b/>
          <w:sz w:val="22"/>
          <w:szCs w:val="22"/>
        </w:rPr>
      </w:pPr>
      <w:r w:rsidRPr="008864AE">
        <w:rPr>
          <w:rFonts w:ascii="Palatino Linotype" w:hAnsi="Palatino Linotype" w:cstheme="majorBidi"/>
          <w:b/>
          <w:sz w:val="22"/>
          <w:szCs w:val="22"/>
        </w:rPr>
        <w:t>Order-Redacted Version</w:t>
      </w:r>
    </w:p>
    <w:p w:rsidR="007F33F3" w:rsidRPr="008864AE" w:rsidRDefault="007F33F3" w:rsidP="007F33F3">
      <w:pPr>
        <w:jc w:val="both"/>
        <w:rPr>
          <w:rFonts w:ascii="Palatino Linotype" w:hAnsi="Palatino Linotype" w:cstheme="majorBidi"/>
          <w:sz w:val="22"/>
          <w:szCs w:val="22"/>
          <w:u w:val="single"/>
        </w:rPr>
      </w:pPr>
    </w:p>
    <w:p w:rsidR="007F33F3" w:rsidRPr="008864AE" w:rsidRDefault="007F33F3" w:rsidP="007F33F3">
      <w:pPr>
        <w:tabs>
          <w:tab w:val="left" w:pos="1080"/>
        </w:tabs>
        <w:jc w:val="both"/>
        <w:rPr>
          <w:rFonts w:ascii="Palatino Linotype" w:hAnsi="Palatino Linotype"/>
          <w:sz w:val="22"/>
          <w:szCs w:val="22"/>
        </w:rPr>
      </w:pPr>
      <w:r w:rsidRPr="008864AE">
        <w:rPr>
          <w:rFonts w:ascii="Palatino Linotype" w:hAnsi="Palatino Linotype" w:cstheme="majorBidi"/>
          <w:sz w:val="22"/>
          <w:szCs w:val="22"/>
        </w:rPr>
        <w:t xml:space="preserve">Order dated </w:t>
      </w:r>
      <w:r w:rsidR="00337E9A">
        <w:rPr>
          <w:rFonts w:ascii="Palatino Linotype" w:hAnsi="Palatino Linotype" w:cstheme="majorBidi"/>
          <w:sz w:val="22"/>
          <w:szCs w:val="22"/>
        </w:rPr>
        <w:t>December 03</w:t>
      </w:r>
      <w:r w:rsidRPr="008864AE">
        <w:rPr>
          <w:rFonts w:ascii="Palatino Linotype" w:hAnsi="Palatino Linotype" w:cstheme="majorBidi"/>
          <w:sz w:val="22"/>
          <w:szCs w:val="22"/>
        </w:rPr>
        <w:t>, 20</w:t>
      </w:r>
      <w:r w:rsidR="00337E9A">
        <w:rPr>
          <w:rFonts w:ascii="Palatino Linotype" w:hAnsi="Palatino Linotype" w:cstheme="majorBidi"/>
          <w:sz w:val="22"/>
          <w:szCs w:val="22"/>
        </w:rPr>
        <w:t>20</w:t>
      </w:r>
      <w:r w:rsidRPr="008864AE">
        <w:rPr>
          <w:rFonts w:ascii="Palatino Linotype" w:hAnsi="Palatino Linotype" w:cstheme="majorBidi"/>
          <w:sz w:val="22"/>
          <w:szCs w:val="22"/>
        </w:rPr>
        <w:t xml:space="preserve"> was passed by Executive Director/Head of Department (Adjudication-I) in the matter of </w:t>
      </w:r>
      <w:r w:rsidR="00337E9A">
        <w:rPr>
          <w:rFonts w:ascii="Palatino Linotype" w:hAnsi="Palatino Linotype"/>
          <w:sz w:val="22"/>
          <w:szCs w:val="22"/>
        </w:rPr>
        <w:t>Yousaf Weaving Mills</w:t>
      </w:r>
      <w:r w:rsidRPr="008864AE">
        <w:rPr>
          <w:rFonts w:ascii="Palatino Linotype" w:hAnsi="Palatino Linotype"/>
          <w:sz w:val="22"/>
          <w:szCs w:val="22"/>
        </w:rPr>
        <w:t xml:space="preserve"> Limited. </w:t>
      </w:r>
      <w:r w:rsidRPr="008864AE">
        <w:rPr>
          <w:rFonts w:ascii="Palatino Linotype" w:hAnsi="Palatino Linotype" w:cstheme="majorBidi"/>
          <w:sz w:val="22"/>
          <w:szCs w:val="22"/>
        </w:rPr>
        <w:t>Relevant details are</w:t>
      </w:r>
      <w:r>
        <w:rPr>
          <w:rFonts w:ascii="Palatino Linotype" w:hAnsi="Palatino Linotype" w:cstheme="majorBidi"/>
          <w:sz w:val="22"/>
          <w:szCs w:val="22"/>
        </w:rPr>
        <w:t xml:space="preserve"> </w:t>
      </w:r>
      <w:r w:rsidRPr="008864AE">
        <w:rPr>
          <w:rFonts w:ascii="Palatino Linotype" w:hAnsi="Palatino Linotype" w:cstheme="majorBidi"/>
          <w:sz w:val="22"/>
          <w:szCs w:val="22"/>
        </w:rPr>
        <w:t>given as hereunder:</w:t>
      </w:r>
    </w:p>
    <w:p w:rsidR="007F33F3" w:rsidRPr="008864AE" w:rsidRDefault="007F33F3" w:rsidP="007F33F3">
      <w:pPr>
        <w:ind w:firstLine="720"/>
        <w:jc w:val="both"/>
        <w:rPr>
          <w:rFonts w:ascii="Palatino Linotype" w:hAnsi="Palatino Linotype" w:cstheme="majorBidi"/>
          <w:sz w:val="22"/>
          <w:szCs w:val="22"/>
        </w:rPr>
      </w:pPr>
    </w:p>
    <w:tbl>
      <w:tblPr>
        <w:tblStyle w:val="TableGrid"/>
        <w:tblW w:w="9265" w:type="dxa"/>
        <w:tblLook w:val="04A0" w:firstRow="1" w:lastRow="0" w:firstColumn="1" w:lastColumn="0" w:noHBand="0" w:noVBand="1"/>
      </w:tblPr>
      <w:tblGrid>
        <w:gridCol w:w="2605"/>
        <w:gridCol w:w="6660"/>
      </w:tblGrid>
      <w:tr w:rsidR="007F33F3" w:rsidRPr="008864AE" w:rsidTr="00991511">
        <w:tc>
          <w:tcPr>
            <w:tcW w:w="2605" w:type="dxa"/>
          </w:tcPr>
          <w:p w:rsidR="007F33F3" w:rsidRPr="008864AE" w:rsidRDefault="007F33F3" w:rsidP="00991511">
            <w:pPr>
              <w:jc w:val="center"/>
              <w:rPr>
                <w:rFonts w:ascii="Palatino Linotype" w:hAnsi="Palatino Linotype" w:cstheme="majorBidi"/>
                <w:b/>
                <w:sz w:val="22"/>
                <w:szCs w:val="22"/>
              </w:rPr>
            </w:pPr>
            <w:r w:rsidRPr="008864AE">
              <w:rPr>
                <w:rFonts w:ascii="Palatino Linotype" w:hAnsi="Palatino Linotype" w:cstheme="majorBidi"/>
                <w:b/>
                <w:sz w:val="22"/>
                <w:szCs w:val="22"/>
              </w:rPr>
              <w:t>Nature</w:t>
            </w:r>
          </w:p>
        </w:tc>
        <w:tc>
          <w:tcPr>
            <w:tcW w:w="6660" w:type="dxa"/>
          </w:tcPr>
          <w:p w:rsidR="007F33F3" w:rsidRPr="008864AE" w:rsidRDefault="007F33F3" w:rsidP="00991511">
            <w:pPr>
              <w:jc w:val="center"/>
              <w:rPr>
                <w:rFonts w:ascii="Palatino Linotype" w:hAnsi="Palatino Linotype" w:cstheme="majorBidi"/>
                <w:b/>
                <w:sz w:val="22"/>
                <w:szCs w:val="22"/>
              </w:rPr>
            </w:pPr>
            <w:r w:rsidRPr="008864AE">
              <w:rPr>
                <w:rFonts w:ascii="Palatino Linotype" w:hAnsi="Palatino Linotype" w:cstheme="majorBidi"/>
                <w:b/>
                <w:sz w:val="22"/>
                <w:szCs w:val="22"/>
              </w:rPr>
              <w:t>Details</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cs="Times New Roman"/>
                <w:sz w:val="22"/>
                <w:szCs w:val="22"/>
              </w:rPr>
            </w:pPr>
            <w:r w:rsidRPr="008864AE">
              <w:rPr>
                <w:rFonts w:ascii="Palatino Linotype" w:hAnsi="Palatino Linotype"/>
                <w:sz w:val="22"/>
                <w:szCs w:val="22"/>
              </w:rPr>
              <w:t>Date of Action</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Show cause notice dated </w:t>
            </w:r>
            <w:r w:rsidR="00337E9A">
              <w:rPr>
                <w:rFonts w:ascii="Palatino Linotype" w:hAnsi="Palatino Linotype" w:cstheme="majorBidi"/>
                <w:sz w:val="22"/>
                <w:szCs w:val="22"/>
              </w:rPr>
              <w:t>April 15</w:t>
            </w:r>
            <w:r w:rsidRPr="008864AE">
              <w:rPr>
                <w:rFonts w:ascii="Palatino Linotype" w:hAnsi="Palatino Linotype" w:cstheme="majorBidi"/>
                <w:sz w:val="22"/>
                <w:szCs w:val="22"/>
              </w:rPr>
              <w:t>, 2019</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sz w:val="22"/>
                <w:szCs w:val="22"/>
              </w:rPr>
            </w:pPr>
            <w:r w:rsidRPr="008864AE">
              <w:rPr>
                <w:rFonts w:ascii="Palatino Linotype" w:hAnsi="Palatino Linotype"/>
                <w:sz w:val="22"/>
                <w:szCs w:val="22"/>
              </w:rPr>
              <w:t>Name of Company</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337E9A" w:rsidP="00991511">
            <w:pPr>
              <w:jc w:val="both"/>
              <w:rPr>
                <w:rFonts w:ascii="Palatino Linotype" w:hAnsi="Palatino Linotype" w:cstheme="majorBidi"/>
                <w:sz w:val="22"/>
                <w:szCs w:val="22"/>
              </w:rPr>
            </w:pPr>
            <w:r>
              <w:rPr>
                <w:rFonts w:ascii="Palatino Linotype" w:hAnsi="Palatino Linotype"/>
                <w:sz w:val="22"/>
                <w:szCs w:val="22"/>
              </w:rPr>
              <w:t>Yousaf Weaving Mills</w:t>
            </w:r>
            <w:r w:rsidR="007F33F3" w:rsidRPr="008864AE">
              <w:rPr>
                <w:rFonts w:ascii="Palatino Linotype" w:hAnsi="Palatino Linotype"/>
                <w:sz w:val="22"/>
                <w:szCs w:val="22"/>
              </w:rPr>
              <w:t xml:space="preserve"> Limited</w:t>
            </w:r>
          </w:p>
        </w:tc>
      </w:tr>
      <w:tr w:rsidR="007F33F3" w:rsidRPr="008864AE" w:rsidTr="00991511">
        <w:tc>
          <w:tcPr>
            <w:tcW w:w="2605" w:type="dxa"/>
          </w:tcPr>
          <w:p w:rsidR="007F33F3" w:rsidRPr="008864AE" w:rsidRDefault="007F33F3" w:rsidP="007F33F3">
            <w:pPr>
              <w:pStyle w:val="NoSpacing"/>
              <w:numPr>
                <w:ilvl w:val="0"/>
                <w:numId w:val="1"/>
              </w:numPr>
              <w:ind w:left="334"/>
              <w:rPr>
                <w:rFonts w:ascii="Palatino Linotype" w:hAnsi="Palatino Linotype"/>
                <w:sz w:val="22"/>
                <w:szCs w:val="22"/>
              </w:rPr>
            </w:pPr>
            <w:r w:rsidRPr="008864AE">
              <w:rPr>
                <w:rFonts w:ascii="Palatino Linotype" w:hAnsi="Palatino Linotype"/>
                <w:sz w:val="22"/>
                <w:szCs w:val="22"/>
              </w:rPr>
              <w:t>Name of Individual*</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The proceedings were initiated against the directors of the Company i.e. </w:t>
            </w:r>
            <w:r w:rsidR="00337E9A">
              <w:rPr>
                <w:rFonts w:ascii="Palatino Linotype" w:hAnsi="Palatino Linotype"/>
                <w:sz w:val="22"/>
                <w:szCs w:val="22"/>
              </w:rPr>
              <w:t>Yousaf Weaving Mills</w:t>
            </w:r>
            <w:r w:rsidRPr="008864AE">
              <w:rPr>
                <w:rFonts w:ascii="Palatino Linotype" w:hAnsi="Palatino Linotype"/>
                <w:sz w:val="22"/>
                <w:szCs w:val="22"/>
              </w:rPr>
              <w:t xml:space="preserve"> Limited</w:t>
            </w:r>
          </w:p>
        </w:tc>
      </w:tr>
      <w:tr w:rsidR="007F33F3" w:rsidRPr="008864AE" w:rsidTr="00991511">
        <w:tc>
          <w:tcPr>
            <w:tcW w:w="2605" w:type="dxa"/>
          </w:tcPr>
          <w:p w:rsidR="007F33F3" w:rsidRPr="008864AE" w:rsidRDefault="007F33F3" w:rsidP="007F33F3">
            <w:pPr>
              <w:pStyle w:val="NoSpacing"/>
              <w:numPr>
                <w:ilvl w:val="0"/>
                <w:numId w:val="1"/>
              </w:numPr>
              <w:ind w:left="334" w:hanging="334"/>
              <w:rPr>
                <w:rFonts w:ascii="Palatino Linotype" w:hAnsi="Palatino Linotype"/>
                <w:sz w:val="22"/>
                <w:szCs w:val="22"/>
              </w:rPr>
            </w:pPr>
            <w:r w:rsidRPr="008864AE">
              <w:rPr>
                <w:rFonts w:ascii="Palatino Linotype" w:hAnsi="Palatino Linotype"/>
                <w:sz w:val="22"/>
                <w:szCs w:val="22"/>
              </w:rPr>
              <w:t>Nature of Offence</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 xml:space="preserve">Violations of </w:t>
            </w:r>
            <w:r>
              <w:rPr>
                <w:rFonts w:ascii="Palatino Linotype" w:hAnsi="Palatino Linotype" w:cstheme="majorBidi"/>
                <w:sz w:val="22"/>
                <w:szCs w:val="22"/>
              </w:rPr>
              <w:t xml:space="preserve">section </w:t>
            </w:r>
            <w:r w:rsidR="00337E9A">
              <w:rPr>
                <w:rFonts w:ascii="Palatino Linotype" w:hAnsi="Palatino Linotype" w:cstheme="majorBidi"/>
                <w:sz w:val="22"/>
                <w:szCs w:val="22"/>
              </w:rPr>
              <w:t>492</w:t>
            </w:r>
            <w:r w:rsidR="00DD34B7">
              <w:rPr>
                <w:rFonts w:ascii="Palatino Linotype" w:hAnsi="Palatino Linotype" w:cstheme="majorBidi"/>
                <w:sz w:val="22"/>
                <w:szCs w:val="22"/>
              </w:rPr>
              <w:t xml:space="preserve"> and section 476 of the Companies Ordinance, 1984</w:t>
            </w:r>
          </w:p>
        </w:tc>
      </w:tr>
      <w:tr w:rsidR="007F33F3" w:rsidRPr="008864AE" w:rsidTr="00991511">
        <w:tc>
          <w:tcPr>
            <w:tcW w:w="2605" w:type="dxa"/>
          </w:tcPr>
          <w:p w:rsidR="007F33F3" w:rsidRPr="00921B95" w:rsidRDefault="007F33F3" w:rsidP="007F33F3">
            <w:pPr>
              <w:pStyle w:val="NoSpacing"/>
              <w:numPr>
                <w:ilvl w:val="0"/>
                <w:numId w:val="1"/>
              </w:numPr>
              <w:ind w:left="334"/>
              <w:rPr>
                <w:rFonts w:ascii="Palatino Linotype" w:hAnsi="Palatino Linotype"/>
                <w:sz w:val="22"/>
                <w:szCs w:val="22"/>
              </w:rPr>
            </w:pPr>
            <w:r w:rsidRPr="00921B95">
              <w:rPr>
                <w:rFonts w:ascii="Palatino Linotype" w:hAnsi="Palatino Linotype"/>
                <w:sz w:val="22"/>
                <w:szCs w:val="22"/>
              </w:rPr>
              <w:t>Action Taken</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pStyle w:val="ListParagraph"/>
              <w:ind w:left="0"/>
              <w:contextualSpacing w:val="0"/>
              <w:jc w:val="both"/>
              <w:rPr>
                <w:rFonts w:ascii="Palatino Linotype" w:hAnsi="Palatino Linotype" w:cstheme="majorBidi"/>
                <w:sz w:val="22"/>
                <w:szCs w:val="22"/>
              </w:rPr>
            </w:pPr>
            <w:r w:rsidRPr="008864AE">
              <w:rPr>
                <w:rFonts w:ascii="Palatino Linotype" w:hAnsi="Palatino Linotype" w:cstheme="majorBidi"/>
                <w:sz w:val="22"/>
                <w:szCs w:val="22"/>
              </w:rPr>
              <w:t>Key findings were reported in the following manner:</w:t>
            </w:r>
          </w:p>
          <w:p w:rsidR="007F33F3" w:rsidRDefault="007F33F3" w:rsidP="00991511">
            <w:pPr>
              <w:pStyle w:val="ListParagraph"/>
              <w:ind w:left="0"/>
              <w:contextualSpacing w:val="0"/>
              <w:jc w:val="both"/>
              <w:rPr>
                <w:rFonts w:ascii="Palatino Linotype" w:hAnsi="Palatino Linotype" w:cstheme="majorBidi"/>
                <w:sz w:val="22"/>
                <w:szCs w:val="22"/>
              </w:rPr>
            </w:pPr>
          </w:p>
          <w:p w:rsidR="008E3D20" w:rsidRPr="00EA2DD6" w:rsidRDefault="008E3D20" w:rsidP="008E3D20">
            <w:pPr>
              <w:jc w:val="both"/>
              <w:rPr>
                <w:rFonts w:ascii="Palatino Linotype" w:hAnsi="Palatino Linotype"/>
                <w:sz w:val="20"/>
                <w:szCs w:val="20"/>
              </w:rPr>
            </w:pPr>
            <w:r w:rsidRPr="00EA2DD6">
              <w:rPr>
                <w:rFonts w:ascii="Palatino Linotype" w:hAnsi="Palatino Linotype"/>
                <w:sz w:val="20"/>
                <w:szCs w:val="20"/>
              </w:rPr>
              <w:t xml:space="preserve">I am of the view that applicable requirements of International Financial Reporting Standards are binding requirements and any exception to this would jeopardize the interest of the investors as in the given case of the Company. I have come to the conclusion that the Respondents, for the year ended June 30, 2012 to June 30, 2015 have failed to recognize the aforesaid assets at lower of carrying amount and fair value less cost to sell as required by IFRS-5 (non-current assets held for sale and discontinued operations) as the sale price was materially lower than the last reported price. Furthermore, the Respondent failed to demonstrate that as to why an abrupt loss of Rs. 175 million was recorded against sale of its dairy division which comprised of biological and non-biological assets. The Company’s fair value determination mechanism did not truly reflect the market conditions and deteriorated assets of dairy division were disclosed at significant higher amounts in relevant financial years of 2012, 2013, 2014 and 2015 and ultimate disposal of assets was recorded in financial years 2016 by reporting a loss of Rs. 175 million against such disposals.  </w:t>
            </w:r>
          </w:p>
          <w:p w:rsidR="008E3D20" w:rsidRPr="00EA2DD6" w:rsidRDefault="008E3D20" w:rsidP="008E3D20">
            <w:pPr>
              <w:pStyle w:val="BodyText"/>
              <w:spacing w:after="0"/>
              <w:jc w:val="both"/>
              <w:rPr>
                <w:rFonts w:ascii="Palatino Linotype" w:hAnsi="Palatino Linotype"/>
                <w:sz w:val="20"/>
                <w:szCs w:val="20"/>
              </w:rPr>
            </w:pPr>
          </w:p>
          <w:p w:rsidR="008E3D20" w:rsidRDefault="008E3D20" w:rsidP="008E3D20">
            <w:pPr>
              <w:pStyle w:val="ListParagraph"/>
              <w:ind w:left="0"/>
              <w:contextualSpacing w:val="0"/>
              <w:jc w:val="both"/>
              <w:rPr>
                <w:rFonts w:ascii="Palatino Linotype" w:hAnsi="Palatino Linotype"/>
                <w:sz w:val="20"/>
                <w:szCs w:val="20"/>
              </w:rPr>
            </w:pPr>
          </w:p>
          <w:p w:rsidR="008E3D20" w:rsidRDefault="008E3D20" w:rsidP="008E3D20">
            <w:pPr>
              <w:pStyle w:val="ListParagraph"/>
              <w:ind w:left="0"/>
              <w:contextualSpacing w:val="0"/>
              <w:jc w:val="both"/>
              <w:rPr>
                <w:rFonts w:ascii="Palatino Linotype" w:hAnsi="Palatino Linotype"/>
                <w:sz w:val="20"/>
                <w:szCs w:val="20"/>
              </w:rPr>
            </w:pPr>
          </w:p>
          <w:p w:rsidR="008E3D20" w:rsidRDefault="008E3D20" w:rsidP="008E3D20">
            <w:pPr>
              <w:pStyle w:val="ListParagraph"/>
              <w:ind w:left="0"/>
              <w:contextualSpacing w:val="0"/>
              <w:jc w:val="both"/>
              <w:rPr>
                <w:rFonts w:ascii="Palatino Linotype" w:hAnsi="Palatino Linotype"/>
                <w:sz w:val="20"/>
                <w:szCs w:val="20"/>
              </w:rPr>
            </w:pPr>
            <w:r w:rsidRPr="00EA2DD6">
              <w:rPr>
                <w:rFonts w:ascii="Palatino Linotype" w:hAnsi="Palatino Linotype"/>
                <w:sz w:val="20"/>
                <w:szCs w:val="20"/>
              </w:rPr>
              <w:t xml:space="preserve">In view of above, provisions of section 492 of the Ordinance are attracted and Respondents are liable to the penal action. </w:t>
            </w:r>
          </w:p>
          <w:p w:rsidR="008E3D20" w:rsidRDefault="008E3D20" w:rsidP="008E3D20">
            <w:pPr>
              <w:pStyle w:val="ListParagraph"/>
              <w:ind w:left="0"/>
              <w:contextualSpacing w:val="0"/>
              <w:jc w:val="both"/>
              <w:rPr>
                <w:rFonts w:ascii="Palatino Linotype" w:hAnsi="Palatino Linotype"/>
                <w:sz w:val="20"/>
                <w:szCs w:val="20"/>
              </w:rPr>
            </w:pPr>
          </w:p>
          <w:p w:rsidR="008E3D20" w:rsidRDefault="008E3D20" w:rsidP="008E3D20">
            <w:pPr>
              <w:pStyle w:val="ListParagraph"/>
              <w:ind w:left="0"/>
              <w:contextualSpacing w:val="0"/>
              <w:jc w:val="both"/>
              <w:rPr>
                <w:rFonts w:ascii="Palatino Linotype" w:hAnsi="Palatino Linotype"/>
                <w:b/>
                <w:sz w:val="20"/>
                <w:szCs w:val="20"/>
              </w:rPr>
            </w:pPr>
            <w:r>
              <w:rPr>
                <w:rFonts w:ascii="Palatino Linotype" w:hAnsi="Palatino Linotype"/>
                <w:sz w:val="20"/>
                <w:szCs w:val="20"/>
              </w:rPr>
              <w:t xml:space="preserve">A </w:t>
            </w:r>
            <w:r w:rsidRPr="00EA2DD6">
              <w:rPr>
                <w:rFonts w:ascii="Palatino Linotype" w:hAnsi="Palatino Linotype"/>
                <w:sz w:val="20"/>
                <w:szCs w:val="20"/>
              </w:rPr>
              <w:t xml:space="preserve">penalty of </w:t>
            </w:r>
            <w:r w:rsidRPr="008E3D20">
              <w:rPr>
                <w:rFonts w:ascii="Palatino Linotype" w:hAnsi="Palatino Linotype"/>
                <w:sz w:val="20"/>
                <w:szCs w:val="20"/>
              </w:rPr>
              <w:t>Rs. 400,000/- (Rupees four hundred thousand) was imposed on the Respondents (Rs. 50,000 per Respondent total 8 Respondents).</w:t>
            </w:r>
          </w:p>
          <w:p w:rsidR="008E3D20" w:rsidRDefault="008E3D20" w:rsidP="008E3D20">
            <w:pPr>
              <w:pStyle w:val="ListParagraph"/>
              <w:ind w:left="0"/>
              <w:contextualSpacing w:val="0"/>
              <w:jc w:val="both"/>
              <w:rPr>
                <w:rFonts w:ascii="Palatino Linotype" w:hAnsi="Palatino Linotype"/>
                <w:b/>
                <w:sz w:val="20"/>
                <w:szCs w:val="20"/>
              </w:rPr>
            </w:pPr>
          </w:p>
          <w:p w:rsidR="007F33F3" w:rsidRDefault="008E3D20" w:rsidP="008E3D20">
            <w:pPr>
              <w:pStyle w:val="ListParagraph"/>
              <w:ind w:left="0"/>
              <w:contextualSpacing w:val="0"/>
              <w:jc w:val="both"/>
              <w:rPr>
                <w:rFonts w:ascii="Palatino Linotype" w:eastAsiaTheme="minorHAnsi" w:hAnsi="Palatino Linotype"/>
                <w:sz w:val="22"/>
                <w:szCs w:val="22"/>
              </w:rPr>
            </w:pPr>
            <w:r w:rsidRPr="00EA2DD6">
              <w:rPr>
                <w:rFonts w:ascii="Palatino Linotype" w:hAnsi="Palatino Linotype"/>
                <w:sz w:val="20"/>
                <w:szCs w:val="20"/>
              </w:rPr>
              <w:t xml:space="preserve"> </w:t>
            </w:r>
          </w:p>
          <w:p w:rsidR="007F33F3" w:rsidRPr="00434DE6" w:rsidRDefault="007F33F3" w:rsidP="00991511">
            <w:pPr>
              <w:pStyle w:val="BodyText"/>
              <w:spacing w:after="0" w:line="276" w:lineRule="auto"/>
              <w:jc w:val="both"/>
              <w:rPr>
                <w:rFonts w:ascii="Palatino Linotype" w:hAnsi="Palatino Linotype" w:cs="Times New Roman"/>
                <w:sz w:val="22"/>
                <w:szCs w:val="22"/>
              </w:rPr>
            </w:pPr>
            <w:r w:rsidRPr="00434DE6">
              <w:rPr>
                <w:rFonts w:ascii="Palatino Linotype" w:hAnsi="Palatino Linotype"/>
                <w:sz w:val="22"/>
                <w:szCs w:val="22"/>
              </w:rPr>
              <w:t>Nothing in this Order may be deemed to prejudice the operation of any provision of the Act providing for imposition of penalties in re</w:t>
            </w:r>
            <w:r>
              <w:rPr>
                <w:rFonts w:ascii="Palatino Linotype" w:hAnsi="Palatino Linotype"/>
                <w:sz w:val="22"/>
                <w:szCs w:val="22"/>
              </w:rPr>
              <w:t xml:space="preserve">spect of any default, omission or </w:t>
            </w:r>
            <w:r w:rsidRPr="00434DE6">
              <w:rPr>
                <w:rFonts w:ascii="Palatino Linotype" w:hAnsi="Palatino Linotype"/>
                <w:sz w:val="22"/>
                <w:szCs w:val="22"/>
              </w:rPr>
              <w:t xml:space="preserve">violation of the Act. </w:t>
            </w:r>
          </w:p>
          <w:p w:rsidR="007F33F3" w:rsidRPr="008864AE" w:rsidRDefault="007F33F3" w:rsidP="00991511">
            <w:pPr>
              <w:pStyle w:val="Bodytext20"/>
              <w:shd w:val="clear" w:color="auto" w:fill="auto"/>
              <w:tabs>
                <w:tab w:val="left" w:pos="771"/>
              </w:tabs>
              <w:spacing w:before="0" w:after="0" w:line="259" w:lineRule="exact"/>
              <w:rPr>
                <w:rFonts w:ascii="Palatino Linotype" w:hAnsi="Palatino Linotype"/>
                <w:sz w:val="22"/>
                <w:szCs w:val="22"/>
              </w:rPr>
            </w:pPr>
          </w:p>
        </w:tc>
      </w:tr>
      <w:tr w:rsidR="007F33F3" w:rsidRPr="008864AE" w:rsidTr="00991511">
        <w:tc>
          <w:tcPr>
            <w:tcW w:w="2605" w:type="dxa"/>
          </w:tcPr>
          <w:p w:rsidR="007F33F3" w:rsidRPr="008864AE" w:rsidRDefault="007F33F3" w:rsidP="007F33F3">
            <w:pPr>
              <w:pStyle w:val="NoSpacing"/>
              <w:numPr>
                <w:ilvl w:val="0"/>
                <w:numId w:val="1"/>
              </w:numPr>
              <w:ind w:left="340"/>
              <w:rPr>
                <w:rFonts w:ascii="Palatino Linotype" w:hAnsi="Palatino Linotype"/>
                <w:sz w:val="22"/>
                <w:szCs w:val="22"/>
              </w:rPr>
            </w:pPr>
            <w:r w:rsidRPr="008864AE">
              <w:rPr>
                <w:rFonts w:ascii="Palatino Linotype" w:hAnsi="Palatino Linotype"/>
                <w:sz w:val="22"/>
                <w:szCs w:val="22"/>
              </w:rPr>
              <w:lastRenderedPageBreak/>
              <w:t>Penalty Imposed</w:t>
            </w:r>
          </w:p>
          <w:p w:rsidR="007F33F3" w:rsidRPr="008864AE" w:rsidRDefault="007F33F3" w:rsidP="00991511">
            <w:pPr>
              <w:jc w:val="both"/>
              <w:rPr>
                <w:rFonts w:ascii="Palatino Linotype" w:hAnsi="Palatino Linotype" w:cstheme="majorBidi"/>
                <w:sz w:val="22"/>
                <w:szCs w:val="22"/>
              </w:rPr>
            </w:pPr>
          </w:p>
        </w:tc>
        <w:tc>
          <w:tcPr>
            <w:tcW w:w="6660" w:type="dxa"/>
          </w:tcPr>
          <w:p w:rsidR="007F33F3" w:rsidRPr="008864AE" w:rsidRDefault="007F33F3" w:rsidP="00991511">
            <w:pPr>
              <w:jc w:val="both"/>
              <w:rPr>
                <w:rFonts w:ascii="Palatino Linotype" w:hAnsi="Palatino Linotype" w:cstheme="majorBidi"/>
                <w:sz w:val="22"/>
                <w:szCs w:val="22"/>
              </w:rPr>
            </w:pPr>
            <w:r>
              <w:rPr>
                <w:rFonts w:ascii="Palatino Linotype" w:hAnsi="Palatino Linotype" w:cstheme="majorBidi"/>
                <w:sz w:val="22"/>
                <w:szCs w:val="22"/>
              </w:rPr>
              <w:t>P</w:t>
            </w:r>
            <w:r w:rsidRPr="008864AE">
              <w:rPr>
                <w:rFonts w:ascii="Palatino Linotype" w:hAnsi="Palatino Linotype" w:cstheme="majorBidi"/>
                <w:sz w:val="22"/>
                <w:szCs w:val="22"/>
              </w:rPr>
              <w:t>enalty</w:t>
            </w:r>
            <w:r>
              <w:rPr>
                <w:rFonts w:ascii="Palatino Linotype" w:hAnsi="Palatino Linotype" w:cstheme="majorBidi"/>
                <w:sz w:val="22"/>
                <w:szCs w:val="22"/>
              </w:rPr>
              <w:t xml:space="preserve"> was</w:t>
            </w:r>
            <w:r w:rsidRPr="008864AE">
              <w:rPr>
                <w:rFonts w:ascii="Palatino Linotype" w:hAnsi="Palatino Linotype" w:cstheme="majorBidi"/>
                <w:sz w:val="22"/>
                <w:szCs w:val="22"/>
              </w:rPr>
              <w:t xml:space="preserve"> imposed</w:t>
            </w:r>
            <w:r>
              <w:rPr>
                <w:rFonts w:ascii="Palatino Linotype" w:hAnsi="Palatino Linotype" w:cstheme="majorBidi"/>
                <w:sz w:val="22"/>
                <w:szCs w:val="22"/>
              </w:rPr>
              <w:t xml:space="preserve"> on all the respondents.</w:t>
            </w:r>
          </w:p>
        </w:tc>
      </w:tr>
      <w:tr w:rsidR="007F33F3" w:rsidRPr="008864AE" w:rsidTr="00991511">
        <w:tc>
          <w:tcPr>
            <w:tcW w:w="2605" w:type="dxa"/>
          </w:tcPr>
          <w:p w:rsidR="007F33F3" w:rsidRPr="008864AE" w:rsidRDefault="007F33F3" w:rsidP="007F33F3">
            <w:pPr>
              <w:pStyle w:val="ListParagraph"/>
              <w:numPr>
                <w:ilvl w:val="0"/>
                <w:numId w:val="1"/>
              </w:numPr>
              <w:ind w:left="334"/>
              <w:jc w:val="both"/>
              <w:rPr>
                <w:rFonts w:ascii="Palatino Linotype" w:hAnsi="Palatino Linotype" w:cstheme="majorBidi"/>
                <w:sz w:val="22"/>
                <w:szCs w:val="22"/>
              </w:rPr>
            </w:pPr>
            <w:r w:rsidRPr="008864AE">
              <w:rPr>
                <w:rFonts w:ascii="Palatino Linotype" w:hAnsi="Palatino Linotype"/>
                <w:sz w:val="22"/>
                <w:szCs w:val="22"/>
              </w:rPr>
              <w:t>Current Status of Order</w:t>
            </w:r>
          </w:p>
        </w:tc>
        <w:tc>
          <w:tcPr>
            <w:tcW w:w="6660" w:type="dxa"/>
          </w:tcPr>
          <w:p w:rsidR="007F33F3" w:rsidRPr="008864AE" w:rsidRDefault="007F33F3" w:rsidP="00991511">
            <w:pPr>
              <w:jc w:val="both"/>
              <w:rPr>
                <w:rFonts w:ascii="Palatino Linotype" w:hAnsi="Palatino Linotype" w:cstheme="majorBidi"/>
                <w:sz w:val="22"/>
                <w:szCs w:val="22"/>
              </w:rPr>
            </w:pPr>
            <w:r w:rsidRPr="008864AE">
              <w:rPr>
                <w:rFonts w:ascii="Palatino Linotype" w:hAnsi="Palatino Linotype" w:cstheme="majorBidi"/>
                <w:sz w:val="22"/>
                <w:szCs w:val="22"/>
              </w:rPr>
              <w:t>Appeal has been filed by the respondents</w:t>
            </w:r>
            <w:r>
              <w:rPr>
                <w:rFonts w:ascii="Palatino Linotype" w:hAnsi="Palatino Linotype" w:cstheme="majorBidi"/>
                <w:sz w:val="22"/>
                <w:szCs w:val="22"/>
              </w:rPr>
              <w:t>.</w:t>
            </w:r>
          </w:p>
        </w:tc>
      </w:tr>
    </w:tbl>
    <w:p w:rsidR="007F33F3" w:rsidRPr="008864AE" w:rsidRDefault="007F33F3" w:rsidP="007F33F3">
      <w:pPr>
        <w:ind w:firstLine="720"/>
        <w:jc w:val="both"/>
        <w:rPr>
          <w:rFonts w:ascii="Palatino Linotype" w:hAnsi="Palatino Linotype" w:cstheme="majorBidi"/>
          <w:sz w:val="22"/>
          <w:szCs w:val="22"/>
        </w:rPr>
      </w:pPr>
    </w:p>
    <w:p w:rsidR="007F33F3" w:rsidRPr="008864AE" w:rsidRDefault="007F33F3" w:rsidP="007F33F3">
      <w:pPr>
        <w:ind w:firstLine="720"/>
        <w:jc w:val="both"/>
        <w:rPr>
          <w:rFonts w:ascii="Palatino Linotype" w:hAnsi="Palatino Linotype" w:cstheme="majorBidi"/>
          <w:sz w:val="22"/>
          <w:szCs w:val="22"/>
        </w:rPr>
      </w:pPr>
    </w:p>
    <w:p w:rsidR="007F33F3" w:rsidRPr="008864AE" w:rsidRDefault="007F33F3" w:rsidP="007F33F3">
      <w:pPr>
        <w:pStyle w:val="Default"/>
        <w:jc w:val="both"/>
        <w:rPr>
          <w:rFonts w:ascii="Palatino Linotype" w:hAnsi="Palatino Linotype" w:cstheme="majorBidi"/>
          <w:b/>
          <w:bCs/>
          <w:color w:val="auto"/>
          <w:sz w:val="22"/>
          <w:szCs w:val="22"/>
        </w:rPr>
      </w:pPr>
    </w:p>
    <w:p w:rsidR="00920772" w:rsidRDefault="007F33F3" w:rsidP="007F33F3">
      <w:r w:rsidRPr="008864AE">
        <w:rPr>
          <w:rFonts w:ascii="Palatino Linotype" w:hAnsi="Palatino Linotype" w:cstheme="majorBidi"/>
          <w:sz w:val="22"/>
          <w:szCs w:val="22"/>
        </w:rPr>
        <w:t xml:space="preserve">Redacted version issued on </w:t>
      </w:r>
      <w:r w:rsidR="0069370C">
        <w:rPr>
          <w:rFonts w:ascii="Palatino Linotype" w:hAnsi="Palatino Linotype" w:cstheme="majorBidi"/>
          <w:sz w:val="22"/>
          <w:szCs w:val="22"/>
        </w:rPr>
        <w:t>June 08, 2021</w:t>
      </w:r>
      <w:r w:rsidR="0069370C" w:rsidRPr="00284410">
        <w:rPr>
          <w:rFonts w:ascii="Palatino Linotype" w:hAnsi="Palatino Linotype" w:cstheme="majorBidi"/>
          <w:sz w:val="22"/>
          <w:szCs w:val="22"/>
        </w:rPr>
        <w:t xml:space="preserve"> </w:t>
      </w:r>
      <w:bookmarkStart w:id="0" w:name="_GoBack"/>
      <w:bookmarkEnd w:id="0"/>
      <w:r>
        <w:rPr>
          <w:rFonts w:ascii="Palatino Linotype" w:hAnsi="Palatino Linotype" w:cstheme="majorBidi"/>
          <w:sz w:val="22"/>
          <w:szCs w:val="22"/>
        </w:rPr>
        <w:t xml:space="preserve"> </w:t>
      </w:r>
      <w:r w:rsidRPr="008864AE">
        <w:rPr>
          <w:rFonts w:ascii="Palatino Linotype" w:hAnsi="Palatino Linotype" w:cstheme="majorBidi"/>
          <w:sz w:val="22"/>
          <w:szCs w:val="22"/>
        </w:rPr>
        <w:t>for placement of website of the Commission.</w:t>
      </w:r>
    </w:p>
    <w:sectPr w:rsidR="00920772" w:rsidSect="007F33F3">
      <w:headerReference w:type="default" r:id="rId7"/>
      <w:footerReference w:type="default" r:id="rId8"/>
      <w:pgSz w:w="11906" w:h="16838"/>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53" w:rsidRDefault="00603053" w:rsidP="007F33F3">
      <w:r>
        <w:separator/>
      </w:r>
    </w:p>
  </w:endnote>
  <w:endnote w:type="continuationSeparator" w:id="0">
    <w:p w:rsidR="00603053" w:rsidRDefault="00603053" w:rsidP="007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p>
  <w:p w:rsidR="007F33F3" w:rsidRPr="007F33F3" w:rsidRDefault="007F33F3" w:rsidP="007F33F3">
    <w:pPr>
      <w:pBdr>
        <w:top w:val="single" w:sz="4" w:space="0" w:color="auto"/>
      </w:pBdr>
      <w:tabs>
        <w:tab w:val="center" w:pos="4680"/>
        <w:tab w:val="center" w:pos="4770"/>
        <w:tab w:val="right" w:pos="9360"/>
        <w:tab w:val="right" w:pos="9540"/>
      </w:tabs>
      <w:jc w:val="center"/>
      <w:rPr>
        <w:rFonts w:ascii="Times New Roman" w:eastAsia="SimSun" w:hAnsi="Times New Roman" w:cs="Times New Roman"/>
        <w:iCs/>
        <w:spacing w:val="10"/>
        <w:sz w:val="18"/>
        <w:szCs w:val="18"/>
      </w:rPr>
    </w:pPr>
    <w:r w:rsidRPr="007F33F3">
      <w:rPr>
        <w:rFonts w:ascii="Times New Roman" w:eastAsia="SimSun" w:hAnsi="Times New Roman" w:cs="Times New Roman"/>
        <w:iCs/>
        <w:spacing w:val="10"/>
        <w:sz w:val="18"/>
        <w:szCs w:val="18"/>
      </w:rPr>
      <w:t>NIC Building, 63-Jinnah Avenue, Blue Area, Islamabad, Pakistan</w:t>
    </w:r>
  </w:p>
  <w:p w:rsidR="007F33F3" w:rsidRPr="007F33F3" w:rsidRDefault="007F33F3" w:rsidP="007F33F3">
    <w:pPr>
      <w:tabs>
        <w:tab w:val="center" w:pos="4680"/>
        <w:tab w:val="right" w:pos="9360"/>
      </w:tabs>
      <w:jc w:val="center"/>
      <w:rPr>
        <w:rFonts w:ascii="Times New Roman" w:eastAsia="SimSun" w:hAnsi="Times New Roman" w:cs="Times New Roman"/>
        <w:iCs/>
        <w:spacing w:val="10"/>
        <w:sz w:val="18"/>
        <w:szCs w:val="18"/>
        <w:lang w:val="fr-FR"/>
      </w:rPr>
    </w:pPr>
    <w:r w:rsidRPr="007F33F3">
      <w:rPr>
        <w:rFonts w:ascii="Times New Roman" w:hAnsi="Times New Roman" w:cs="Times New Roman"/>
        <w:spacing w:val="10"/>
        <w:sz w:val="18"/>
        <w:szCs w:val="18"/>
      </w:rPr>
      <w:t>Ph: 051-9207091-4,</w:t>
    </w:r>
    <w:r w:rsidRPr="007F33F3">
      <w:rPr>
        <w:rFonts w:ascii="Times New Roman" w:eastAsia="SimSun" w:hAnsi="Times New Roman" w:cs="Times New Roman"/>
        <w:iCs/>
        <w:spacing w:val="10"/>
        <w:sz w:val="18"/>
        <w:szCs w:val="18"/>
        <w:lang w:val="fr-FR"/>
      </w:rPr>
      <w:t>Fax: 051-9100477</w:t>
    </w:r>
  </w:p>
  <w:p w:rsidR="007F33F3" w:rsidRPr="007F33F3" w:rsidRDefault="007F33F3" w:rsidP="007F33F3">
    <w:pPr>
      <w:tabs>
        <w:tab w:val="right" w:pos="9000"/>
      </w:tabs>
      <w:jc w:val="both"/>
      <w:rPr>
        <w:rFonts w:ascii="Times New Roman" w:hAnsi="Times New Roman" w:cs="Times New Roman"/>
        <w:b/>
        <w:bCs/>
        <w:sz w:val="18"/>
        <w:szCs w:val="18"/>
      </w:rPr>
    </w:pPr>
    <w:r w:rsidRPr="007F33F3">
      <w:rPr>
        <w:rFonts w:ascii="Times New Roman" w:hAnsi="Times New Roman" w:cs="Times New Roman"/>
        <w:b/>
        <w:bCs/>
        <w:sz w:val="18"/>
        <w:szCs w:val="18"/>
      </w:rPr>
      <w:tab/>
      <w:t xml:space="preserve">Page </w:t>
    </w:r>
    <w:r w:rsidRPr="007F33F3">
      <w:rPr>
        <w:rFonts w:ascii="Times New Roman" w:hAnsi="Times New Roman" w:cs="Times New Roman"/>
        <w:b/>
        <w:bCs/>
        <w:sz w:val="18"/>
        <w:szCs w:val="18"/>
      </w:rPr>
      <w:fldChar w:fldCharType="begin"/>
    </w:r>
    <w:r w:rsidRPr="007F33F3">
      <w:rPr>
        <w:rFonts w:ascii="Times New Roman" w:hAnsi="Times New Roman" w:cs="Times New Roman"/>
        <w:b/>
        <w:bCs/>
        <w:sz w:val="18"/>
        <w:szCs w:val="18"/>
      </w:rPr>
      <w:instrText xml:space="preserve"> PAGE  \* Arabic  \* MERGEFORMAT </w:instrText>
    </w:r>
    <w:r w:rsidRPr="007F33F3">
      <w:rPr>
        <w:rFonts w:ascii="Times New Roman" w:hAnsi="Times New Roman" w:cs="Times New Roman"/>
        <w:b/>
        <w:bCs/>
        <w:sz w:val="18"/>
        <w:szCs w:val="18"/>
      </w:rPr>
      <w:fldChar w:fldCharType="separate"/>
    </w:r>
    <w:r w:rsidR="008E3D20">
      <w:rPr>
        <w:rFonts w:ascii="Times New Roman" w:hAnsi="Times New Roman" w:cs="Times New Roman"/>
        <w:b/>
        <w:bCs/>
        <w:noProof/>
        <w:sz w:val="18"/>
        <w:szCs w:val="18"/>
      </w:rPr>
      <w:t>1</w:t>
    </w:r>
    <w:r w:rsidRPr="007F33F3">
      <w:rPr>
        <w:rFonts w:ascii="Times New Roman" w:hAnsi="Times New Roman" w:cs="Times New Roman"/>
        <w:b/>
        <w:bCs/>
        <w:sz w:val="18"/>
        <w:szCs w:val="18"/>
      </w:rPr>
      <w:fldChar w:fldCharType="end"/>
    </w:r>
    <w:r w:rsidRPr="007F33F3">
      <w:rPr>
        <w:rFonts w:ascii="Times New Roman" w:hAnsi="Times New Roman" w:cs="Times New Roman"/>
        <w:b/>
        <w:bCs/>
        <w:sz w:val="18"/>
        <w:szCs w:val="18"/>
      </w:rPr>
      <w:t xml:space="preserve"> of </w:t>
    </w:r>
    <w:r>
      <w:rPr>
        <w:rFonts w:ascii="Times New Roman" w:hAnsi="Times New Roman" w:cs="Times New Roman"/>
        <w:b/>
        <w:bCs/>
        <w:sz w:val="18"/>
        <w:szCs w:val="18"/>
      </w:rPr>
      <w:t>2</w:t>
    </w:r>
  </w:p>
  <w:p w:rsidR="007F33F3" w:rsidRDefault="007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53" w:rsidRDefault="00603053" w:rsidP="007F33F3">
      <w:r>
        <w:separator/>
      </w:r>
    </w:p>
  </w:footnote>
  <w:footnote w:type="continuationSeparator" w:id="0">
    <w:p w:rsidR="00603053" w:rsidRDefault="00603053" w:rsidP="007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3F3" w:rsidRDefault="007F33F3" w:rsidP="007F33F3">
    <w:pPr>
      <w:ind w:left="720"/>
      <w:jc w:val="center"/>
      <w:rPr>
        <w:rFonts w:asciiTheme="majorBidi" w:hAnsiTheme="majorBidi" w:cstheme="majorBidi"/>
        <w:b/>
        <w:color w:val="116C65"/>
        <w:sz w:val="34"/>
        <w:szCs w:val="34"/>
      </w:rPr>
    </w:pPr>
    <w:r>
      <w:rPr>
        <w:noProof/>
      </w:rPr>
      <w:drawing>
        <wp:anchor distT="0" distB="0" distL="114300" distR="114300" simplePos="0" relativeHeight="251659264" behindDoc="1" locked="0" layoutInCell="1" allowOverlap="1" wp14:anchorId="14293031" wp14:editId="0B2A8CAA">
          <wp:simplePos x="0" y="0"/>
          <wp:positionH relativeFrom="margin">
            <wp:align>left</wp:align>
          </wp:positionH>
          <wp:positionV relativeFrom="paragraph">
            <wp:posOffset>-268605</wp:posOffset>
          </wp:positionV>
          <wp:extent cx="735330" cy="79946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7F33F3" w:rsidRDefault="007F33F3" w:rsidP="007F33F3">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7F33F3" w:rsidRDefault="007F33F3" w:rsidP="007F33F3">
    <w:pPr>
      <w:pStyle w:val="Header"/>
    </w:pPr>
  </w:p>
  <w:p w:rsidR="007F33F3" w:rsidRDefault="007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F3"/>
    <w:rsid w:val="00202F2E"/>
    <w:rsid w:val="00207817"/>
    <w:rsid w:val="00337E9A"/>
    <w:rsid w:val="00370FF5"/>
    <w:rsid w:val="003C01AF"/>
    <w:rsid w:val="004A4F88"/>
    <w:rsid w:val="00603053"/>
    <w:rsid w:val="006418A3"/>
    <w:rsid w:val="0066173F"/>
    <w:rsid w:val="0069370C"/>
    <w:rsid w:val="006C3DF5"/>
    <w:rsid w:val="007F33F3"/>
    <w:rsid w:val="008B20DE"/>
    <w:rsid w:val="008E3D20"/>
    <w:rsid w:val="00920772"/>
    <w:rsid w:val="00921B95"/>
    <w:rsid w:val="00BC6986"/>
    <w:rsid w:val="00DD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b9edfd,#d6f4fe"/>
    </o:shapedefaults>
    <o:shapelayout v:ext="edit">
      <o:idmap v:ext="edit" data="1"/>
    </o:shapelayout>
  </w:shapeDefaults>
  <w:decimalSymbol w:val="."/>
  <w:listSeparator w:val=","/>
  <w15:chartTrackingRefBased/>
  <w15:docId w15:val="{37D54AA8-0148-4F83-86F8-B7F5B5D4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F3"/>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3F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3F3"/>
    <w:pPr>
      <w:ind w:left="720"/>
      <w:contextualSpacing/>
    </w:pPr>
  </w:style>
  <w:style w:type="paragraph" w:customStyle="1" w:styleId="Default">
    <w:name w:val="Default"/>
    <w:rsid w:val="007F33F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7F33F3"/>
    <w:pPr>
      <w:spacing w:after="0" w:line="240" w:lineRule="auto"/>
    </w:pPr>
    <w:rPr>
      <w:rFonts w:ascii="Arial" w:eastAsia="Times New Roman" w:hAnsi="Arial" w:cs="Arial"/>
      <w:sz w:val="24"/>
      <w:szCs w:val="24"/>
      <w:lang w:val="en-US"/>
    </w:rPr>
  </w:style>
  <w:style w:type="paragraph" w:styleId="BodyText">
    <w:name w:val="Body Text"/>
    <w:basedOn w:val="Normal"/>
    <w:link w:val="BodyTextChar"/>
    <w:uiPriority w:val="99"/>
    <w:semiHidden/>
    <w:unhideWhenUsed/>
    <w:rsid w:val="007F33F3"/>
    <w:pPr>
      <w:spacing w:after="120"/>
    </w:pPr>
  </w:style>
  <w:style w:type="character" w:customStyle="1" w:styleId="BodyTextChar">
    <w:name w:val="Body Text Char"/>
    <w:basedOn w:val="DefaultParagraphFont"/>
    <w:link w:val="BodyText"/>
    <w:uiPriority w:val="99"/>
    <w:semiHidden/>
    <w:rsid w:val="007F33F3"/>
    <w:rPr>
      <w:rFonts w:ascii="Arial" w:eastAsia="Times New Roman" w:hAnsi="Arial" w:cs="Arial"/>
      <w:sz w:val="24"/>
      <w:szCs w:val="24"/>
      <w:lang w:val="en-US"/>
    </w:rPr>
  </w:style>
  <w:style w:type="character" w:customStyle="1" w:styleId="ListParagraphChar">
    <w:name w:val="List Paragraph Char"/>
    <w:basedOn w:val="DefaultParagraphFont"/>
    <w:link w:val="ListParagraph"/>
    <w:uiPriority w:val="34"/>
    <w:locked/>
    <w:rsid w:val="007F33F3"/>
    <w:rPr>
      <w:rFonts w:ascii="Arial" w:eastAsia="Times New Roman" w:hAnsi="Arial" w:cs="Arial"/>
      <w:sz w:val="24"/>
      <w:szCs w:val="24"/>
      <w:lang w:val="en-US"/>
    </w:rPr>
  </w:style>
  <w:style w:type="paragraph" w:styleId="NormalWeb">
    <w:name w:val="Normal (Web)"/>
    <w:basedOn w:val="Normal"/>
    <w:unhideWhenUsed/>
    <w:rsid w:val="007F33F3"/>
    <w:rPr>
      <w:rFonts w:ascii="Times New Roman" w:hAnsi="Times New Roman" w:cs="Times New Roman"/>
    </w:rPr>
  </w:style>
  <w:style w:type="character" w:customStyle="1" w:styleId="Bodytext2">
    <w:name w:val="Body text|2_"/>
    <w:basedOn w:val="DefaultParagraphFont"/>
    <w:link w:val="Bodytext20"/>
    <w:rsid w:val="007F33F3"/>
    <w:rPr>
      <w:rFonts w:ascii="Arial" w:eastAsia="Arial" w:hAnsi="Arial" w:cs="Arial"/>
      <w:sz w:val="19"/>
      <w:szCs w:val="19"/>
      <w:shd w:val="clear" w:color="auto" w:fill="FFFFFF"/>
    </w:rPr>
  </w:style>
  <w:style w:type="paragraph" w:customStyle="1" w:styleId="Bodytext20">
    <w:name w:val="Body text|2"/>
    <w:basedOn w:val="Normal"/>
    <w:link w:val="Bodytext2"/>
    <w:rsid w:val="007F33F3"/>
    <w:pPr>
      <w:widowControl w:val="0"/>
      <w:shd w:val="clear" w:color="auto" w:fill="FFFFFF"/>
      <w:spacing w:before="280" w:after="280" w:line="269" w:lineRule="exact"/>
      <w:jc w:val="both"/>
    </w:pPr>
    <w:rPr>
      <w:rFonts w:eastAsia="Arial"/>
      <w:sz w:val="19"/>
      <w:szCs w:val="19"/>
    </w:rPr>
  </w:style>
  <w:style w:type="paragraph" w:styleId="Header">
    <w:name w:val="header"/>
    <w:basedOn w:val="Normal"/>
    <w:link w:val="HeaderChar"/>
    <w:uiPriority w:val="99"/>
    <w:unhideWhenUsed/>
    <w:rsid w:val="007F33F3"/>
    <w:pPr>
      <w:tabs>
        <w:tab w:val="center" w:pos="4513"/>
        <w:tab w:val="right" w:pos="9026"/>
      </w:tabs>
    </w:pPr>
  </w:style>
  <w:style w:type="character" w:customStyle="1" w:styleId="HeaderChar">
    <w:name w:val="Header Char"/>
    <w:basedOn w:val="DefaultParagraphFont"/>
    <w:link w:val="Header"/>
    <w:uiPriority w:val="99"/>
    <w:rsid w:val="007F33F3"/>
    <w:rPr>
      <w:rFonts w:ascii="Arial" w:eastAsia="Times New Roman" w:hAnsi="Arial" w:cs="Arial"/>
      <w:sz w:val="24"/>
      <w:szCs w:val="24"/>
      <w:lang w:val="en-US"/>
    </w:rPr>
  </w:style>
  <w:style w:type="paragraph" w:styleId="Footer">
    <w:name w:val="footer"/>
    <w:basedOn w:val="Normal"/>
    <w:link w:val="FooterChar"/>
    <w:uiPriority w:val="99"/>
    <w:unhideWhenUsed/>
    <w:rsid w:val="007F33F3"/>
    <w:pPr>
      <w:tabs>
        <w:tab w:val="center" w:pos="4513"/>
        <w:tab w:val="right" w:pos="9026"/>
      </w:tabs>
    </w:pPr>
  </w:style>
  <w:style w:type="character" w:customStyle="1" w:styleId="FooterChar">
    <w:name w:val="Footer Char"/>
    <w:basedOn w:val="DefaultParagraphFont"/>
    <w:link w:val="Footer"/>
    <w:uiPriority w:val="99"/>
    <w:rsid w:val="007F33F3"/>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 Bano</dc:creator>
  <cp:keywords/>
  <dc:description/>
  <cp:lastModifiedBy>Zohra Sarwar Khan</cp:lastModifiedBy>
  <cp:revision>3</cp:revision>
  <dcterms:created xsi:type="dcterms:W3CDTF">2021-06-07T05:27:00Z</dcterms:created>
  <dcterms:modified xsi:type="dcterms:W3CDTF">2021-06-08T18:53:00Z</dcterms:modified>
</cp:coreProperties>
</file>