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B5486" w14:textId="77777777" w:rsidR="003B268B" w:rsidRDefault="003B268B" w:rsidP="005C3051">
      <w:pPr>
        <w:jc w:val="center"/>
        <w:rPr>
          <w:rFonts w:asciiTheme="minorHAnsi" w:hAnsiTheme="minorHAnsi" w:cstheme="minorHAnsi"/>
          <w:b/>
          <w:sz w:val="30"/>
        </w:rPr>
      </w:pPr>
    </w:p>
    <w:p w14:paraId="185A29B3" w14:textId="37BABD66" w:rsidR="002C3DD5" w:rsidRPr="00016BD7" w:rsidRDefault="00B933CE" w:rsidP="0009615D">
      <w:pPr>
        <w:jc w:val="center"/>
        <w:rPr>
          <w:rFonts w:asciiTheme="minorHAnsi" w:hAnsiTheme="minorHAnsi" w:cstheme="minorHAnsi"/>
          <w:b/>
          <w:sz w:val="30"/>
        </w:rPr>
      </w:pPr>
      <w:r w:rsidRPr="00016BD7">
        <w:rPr>
          <w:rFonts w:asciiTheme="minorHAnsi" w:hAnsiTheme="minorHAnsi" w:cstheme="minorHAnsi"/>
          <w:b/>
          <w:sz w:val="30"/>
        </w:rPr>
        <w:t xml:space="preserve">Requirements for Prospective </w:t>
      </w:r>
      <w:r w:rsidR="00C36437">
        <w:rPr>
          <w:rFonts w:asciiTheme="minorHAnsi" w:hAnsiTheme="minorHAnsi" w:cstheme="minorHAnsi"/>
          <w:b/>
          <w:sz w:val="30"/>
        </w:rPr>
        <w:t>Non-Banking Finance Company (</w:t>
      </w:r>
      <w:r w:rsidRPr="00016BD7">
        <w:rPr>
          <w:rFonts w:asciiTheme="minorHAnsi" w:hAnsiTheme="minorHAnsi" w:cstheme="minorHAnsi"/>
          <w:b/>
          <w:sz w:val="30"/>
        </w:rPr>
        <w:t>NBFC</w:t>
      </w:r>
      <w:r w:rsidR="00C36437">
        <w:rPr>
          <w:rFonts w:asciiTheme="minorHAnsi" w:hAnsiTheme="minorHAnsi" w:cstheme="minorHAnsi"/>
          <w:b/>
          <w:sz w:val="30"/>
        </w:rPr>
        <w:t>) / Private Fund Management Company (PFMC)</w:t>
      </w:r>
    </w:p>
    <w:p w14:paraId="55FE6F06" w14:textId="77777777" w:rsidR="00B933CE" w:rsidRPr="00016BD7" w:rsidRDefault="00B933CE">
      <w:pPr>
        <w:rPr>
          <w:rFonts w:asciiTheme="minorHAnsi" w:hAnsiTheme="minorHAnsi" w:cstheme="minorHAnsi"/>
        </w:rPr>
      </w:pPr>
    </w:p>
    <w:p w14:paraId="1CF61F76" w14:textId="54471B8C" w:rsidR="00B933CE" w:rsidRPr="00016BD7" w:rsidRDefault="00B933CE" w:rsidP="00B933CE">
      <w:pPr>
        <w:rPr>
          <w:rFonts w:asciiTheme="minorHAnsi" w:hAnsiTheme="minorHAnsi" w:cstheme="minorHAnsi"/>
          <w:sz w:val="22"/>
        </w:rPr>
      </w:pPr>
      <w:r w:rsidRPr="00016BD7">
        <w:rPr>
          <w:rFonts w:asciiTheme="minorHAnsi" w:hAnsiTheme="minorHAnsi" w:cstheme="minorHAnsi"/>
          <w:b/>
          <w:bCs/>
          <w:sz w:val="22"/>
        </w:rPr>
        <w:t>Formation of NBFC</w:t>
      </w:r>
      <w:r w:rsidR="00C36437">
        <w:rPr>
          <w:rFonts w:asciiTheme="minorHAnsi" w:hAnsiTheme="minorHAnsi" w:cstheme="minorHAnsi"/>
          <w:b/>
          <w:bCs/>
          <w:sz w:val="22"/>
        </w:rPr>
        <w:t xml:space="preserve"> / PFMC</w:t>
      </w:r>
    </w:p>
    <w:p w14:paraId="2921A306" w14:textId="347036C7" w:rsidR="003B0D69" w:rsidRPr="00016BD7" w:rsidRDefault="0009615D" w:rsidP="00B933CE">
      <w:pPr>
        <w:numPr>
          <w:ilvl w:val="0"/>
          <w:numId w:val="4"/>
        </w:numPr>
        <w:rPr>
          <w:rFonts w:asciiTheme="minorHAnsi" w:hAnsiTheme="minorHAnsi" w:cstheme="minorHAnsi"/>
          <w:sz w:val="22"/>
        </w:rPr>
      </w:pPr>
      <w:r w:rsidRPr="00016BD7">
        <w:rPr>
          <w:rFonts w:asciiTheme="minorHAnsi" w:hAnsiTheme="minorHAnsi" w:cstheme="minorHAnsi"/>
          <w:sz w:val="22"/>
        </w:rPr>
        <w:t xml:space="preserve">Application to </w:t>
      </w:r>
      <w:r w:rsidR="000547E6">
        <w:rPr>
          <w:rFonts w:asciiTheme="minorHAnsi" w:hAnsiTheme="minorHAnsi" w:cstheme="minorHAnsi"/>
          <w:sz w:val="22"/>
        </w:rPr>
        <w:t>the Commission</w:t>
      </w:r>
      <w:r w:rsidRPr="00016BD7">
        <w:rPr>
          <w:rFonts w:asciiTheme="minorHAnsi" w:hAnsiTheme="minorHAnsi" w:cstheme="minorHAnsi"/>
          <w:sz w:val="22"/>
        </w:rPr>
        <w:t xml:space="preserve"> for NOC to form a</w:t>
      </w:r>
      <w:r w:rsidR="005E7214">
        <w:rPr>
          <w:rFonts w:asciiTheme="minorHAnsi" w:hAnsiTheme="minorHAnsi" w:cstheme="minorHAnsi"/>
          <w:sz w:val="22"/>
        </w:rPr>
        <w:t>n</w:t>
      </w:r>
      <w:r w:rsidRPr="00016BD7">
        <w:rPr>
          <w:rFonts w:asciiTheme="minorHAnsi" w:hAnsiTheme="minorHAnsi" w:cstheme="minorHAnsi"/>
          <w:sz w:val="22"/>
        </w:rPr>
        <w:t xml:space="preserve"> NBFC </w:t>
      </w:r>
      <w:r w:rsidR="00C36437">
        <w:rPr>
          <w:rFonts w:asciiTheme="minorHAnsi" w:hAnsiTheme="minorHAnsi" w:cstheme="minorHAnsi"/>
          <w:sz w:val="22"/>
        </w:rPr>
        <w:t xml:space="preserve">/ PFMC </w:t>
      </w:r>
      <w:r w:rsidRPr="00016BD7">
        <w:rPr>
          <w:rFonts w:asciiTheme="minorHAnsi" w:hAnsiTheme="minorHAnsi" w:cstheme="minorHAnsi"/>
          <w:sz w:val="22"/>
        </w:rPr>
        <w:t>along with the following docs:</w:t>
      </w:r>
    </w:p>
    <w:p w14:paraId="0A77D6A7" w14:textId="7ECEDF0F" w:rsidR="003B0D69" w:rsidRPr="00FE2E4E" w:rsidRDefault="0009615D" w:rsidP="00B933CE">
      <w:pPr>
        <w:numPr>
          <w:ilvl w:val="1"/>
          <w:numId w:val="4"/>
        </w:numPr>
        <w:rPr>
          <w:rFonts w:asciiTheme="minorHAnsi" w:hAnsiTheme="minorHAnsi" w:cstheme="minorHAnsi"/>
          <w:sz w:val="22"/>
        </w:rPr>
      </w:pPr>
      <w:r w:rsidRPr="00FE2E4E">
        <w:rPr>
          <w:rFonts w:asciiTheme="minorHAnsi" w:hAnsiTheme="minorHAnsi" w:cstheme="minorHAnsi"/>
          <w:b/>
          <w:sz w:val="22"/>
        </w:rPr>
        <w:t>Form I</w:t>
      </w:r>
      <w:r w:rsidRPr="00FE2E4E">
        <w:rPr>
          <w:rFonts w:asciiTheme="minorHAnsi" w:hAnsiTheme="minorHAnsi" w:cstheme="minorHAnsi"/>
          <w:sz w:val="22"/>
        </w:rPr>
        <w:t xml:space="preserve"> of the NBFC Rules</w:t>
      </w:r>
      <w:r w:rsidR="00B933CE" w:rsidRPr="00FE2E4E">
        <w:rPr>
          <w:rFonts w:asciiTheme="minorHAnsi" w:hAnsiTheme="minorHAnsi" w:cstheme="minorHAnsi"/>
          <w:sz w:val="22"/>
        </w:rPr>
        <w:t>, 2003</w:t>
      </w:r>
      <w:r w:rsidRPr="00FE2E4E">
        <w:rPr>
          <w:rFonts w:asciiTheme="minorHAnsi" w:hAnsiTheme="minorHAnsi" w:cstheme="minorHAnsi"/>
          <w:sz w:val="22"/>
        </w:rPr>
        <w:t xml:space="preserve"> along with all relevant supporting documents</w:t>
      </w:r>
      <w:r w:rsidR="00B933CE" w:rsidRPr="00FE2E4E">
        <w:rPr>
          <w:rFonts w:asciiTheme="minorHAnsi" w:hAnsiTheme="minorHAnsi" w:cstheme="minorHAnsi"/>
          <w:sz w:val="22"/>
        </w:rPr>
        <w:t xml:space="preserve"> as per </w:t>
      </w:r>
      <w:r w:rsidR="0084737E" w:rsidRPr="00FE2E4E">
        <w:rPr>
          <w:rFonts w:asciiTheme="minorHAnsi" w:hAnsiTheme="minorHAnsi" w:cstheme="minorHAnsi"/>
          <w:sz w:val="22"/>
        </w:rPr>
        <w:t>A</w:t>
      </w:r>
      <w:r w:rsidR="00B933CE" w:rsidRPr="00FE2E4E">
        <w:rPr>
          <w:rFonts w:asciiTheme="minorHAnsi" w:hAnsiTheme="minorHAnsi" w:cstheme="minorHAnsi"/>
          <w:sz w:val="22"/>
        </w:rPr>
        <w:t xml:space="preserve">nnexure to </w:t>
      </w:r>
      <w:r w:rsidR="0084737E" w:rsidRPr="00FE2E4E">
        <w:rPr>
          <w:rFonts w:asciiTheme="minorHAnsi" w:hAnsiTheme="minorHAnsi" w:cstheme="minorHAnsi"/>
          <w:b/>
          <w:sz w:val="22"/>
        </w:rPr>
        <w:t>F</w:t>
      </w:r>
      <w:r w:rsidR="00B933CE" w:rsidRPr="00FE2E4E">
        <w:rPr>
          <w:rFonts w:asciiTheme="minorHAnsi" w:hAnsiTheme="minorHAnsi" w:cstheme="minorHAnsi"/>
          <w:b/>
          <w:sz w:val="22"/>
        </w:rPr>
        <w:t>orm-I</w:t>
      </w:r>
      <w:r w:rsidR="00B933CE" w:rsidRPr="00FE2E4E">
        <w:rPr>
          <w:rFonts w:asciiTheme="minorHAnsi" w:hAnsiTheme="minorHAnsi" w:cstheme="minorHAnsi"/>
          <w:sz w:val="22"/>
        </w:rPr>
        <w:t xml:space="preserve"> of NBFC Rules, 2003</w:t>
      </w:r>
      <w:r w:rsidRPr="00FE2E4E">
        <w:rPr>
          <w:rFonts w:asciiTheme="minorHAnsi" w:hAnsiTheme="minorHAnsi" w:cstheme="minorHAnsi"/>
          <w:sz w:val="22"/>
        </w:rPr>
        <w:t>.</w:t>
      </w:r>
    </w:p>
    <w:p w14:paraId="3272845C" w14:textId="23DF320F" w:rsidR="003B0D69" w:rsidRPr="00FE2E4E" w:rsidRDefault="00DF51CE" w:rsidP="0084737E">
      <w:pPr>
        <w:numPr>
          <w:ilvl w:val="1"/>
          <w:numId w:val="4"/>
        </w:numPr>
        <w:rPr>
          <w:rFonts w:asciiTheme="minorHAnsi" w:hAnsiTheme="minorHAnsi" w:cstheme="minorHAnsi"/>
          <w:sz w:val="22"/>
        </w:rPr>
      </w:pPr>
      <w:r w:rsidRPr="00FE2E4E">
        <w:rPr>
          <w:rFonts w:asciiTheme="minorHAnsi" w:hAnsiTheme="minorHAnsi" w:cstheme="minorHAnsi"/>
          <w:sz w:val="22"/>
        </w:rPr>
        <w:t xml:space="preserve">Receipt evidencing the payment of non-refundable </w:t>
      </w:r>
      <w:r w:rsidR="0009615D" w:rsidRPr="00FE2E4E">
        <w:rPr>
          <w:rFonts w:asciiTheme="minorHAnsi" w:hAnsiTheme="minorHAnsi" w:cstheme="minorHAnsi"/>
          <w:sz w:val="22"/>
        </w:rPr>
        <w:t xml:space="preserve">Processing Fee of Rs. </w:t>
      </w:r>
      <w:r w:rsidR="00201675" w:rsidRPr="00FE2E4E">
        <w:rPr>
          <w:rFonts w:asciiTheme="minorHAnsi" w:hAnsiTheme="minorHAnsi" w:cstheme="minorHAnsi"/>
          <w:sz w:val="22"/>
        </w:rPr>
        <w:t>2</w:t>
      </w:r>
      <w:r w:rsidR="0009615D" w:rsidRPr="00FE2E4E">
        <w:rPr>
          <w:rFonts w:asciiTheme="minorHAnsi" w:hAnsiTheme="minorHAnsi" w:cstheme="minorHAnsi"/>
          <w:sz w:val="22"/>
        </w:rPr>
        <w:t xml:space="preserve">50,000/- </w:t>
      </w:r>
      <w:r w:rsidR="0084737E" w:rsidRPr="00FE2E4E">
        <w:rPr>
          <w:rFonts w:asciiTheme="minorHAnsi" w:hAnsiTheme="minorHAnsi" w:cstheme="minorHAnsi"/>
          <w:sz w:val="22"/>
        </w:rPr>
        <w:t xml:space="preserve">as per </w:t>
      </w:r>
      <w:r w:rsidR="0084737E" w:rsidRPr="00FE2E4E">
        <w:rPr>
          <w:rFonts w:asciiTheme="minorHAnsi" w:hAnsiTheme="minorHAnsi" w:cstheme="minorHAnsi"/>
          <w:b/>
          <w:sz w:val="22"/>
        </w:rPr>
        <w:t>Schedule II</w:t>
      </w:r>
      <w:r w:rsidR="0084737E" w:rsidRPr="00FE2E4E">
        <w:rPr>
          <w:rFonts w:asciiTheme="minorHAnsi" w:hAnsiTheme="minorHAnsi" w:cstheme="minorHAnsi"/>
          <w:sz w:val="22"/>
        </w:rPr>
        <w:t xml:space="preserve"> of </w:t>
      </w:r>
      <w:r w:rsidR="0084737E" w:rsidRPr="00FE2E4E">
        <w:rPr>
          <w:rFonts w:asciiTheme="minorHAnsi" w:hAnsiTheme="minorHAnsi" w:cstheme="minorHAnsi"/>
          <w:color w:val="000000"/>
          <w:sz w:val="22"/>
        </w:rPr>
        <w:t xml:space="preserve">NBFC Regulations, 2008. </w:t>
      </w:r>
    </w:p>
    <w:p w14:paraId="6E4C8008" w14:textId="2BF3F475" w:rsidR="003B0D69" w:rsidRPr="00FE2E4E" w:rsidRDefault="0009615D" w:rsidP="00B933CE">
      <w:pPr>
        <w:pStyle w:val="ListParagraph"/>
        <w:numPr>
          <w:ilvl w:val="0"/>
          <w:numId w:val="4"/>
        </w:numPr>
        <w:rPr>
          <w:rFonts w:asciiTheme="minorHAnsi" w:hAnsiTheme="minorHAnsi" w:cstheme="minorHAnsi"/>
          <w:sz w:val="22"/>
        </w:rPr>
      </w:pPr>
      <w:r w:rsidRPr="00FE2E4E">
        <w:rPr>
          <w:rFonts w:asciiTheme="minorHAnsi" w:hAnsiTheme="minorHAnsi" w:cstheme="minorHAnsi"/>
          <w:sz w:val="22"/>
        </w:rPr>
        <w:t>Grant of NOC for formation of NBFC</w:t>
      </w:r>
      <w:r w:rsidR="00C36437" w:rsidRPr="00FE2E4E">
        <w:rPr>
          <w:rFonts w:asciiTheme="minorHAnsi" w:hAnsiTheme="minorHAnsi" w:cstheme="minorHAnsi"/>
          <w:sz w:val="22"/>
        </w:rPr>
        <w:t xml:space="preserve"> / PFMC</w:t>
      </w:r>
      <w:r w:rsidRPr="00FE2E4E">
        <w:rPr>
          <w:rFonts w:asciiTheme="minorHAnsi" w:hAnsiTheme="minorHAnsi" w:cstheme="minorHAnsi"/>
          <w:sz w:val="22"/>
        </w:rPr>
        <w:t xml:space="preserve"> by the Commission</w:t>
      </w:r>
    </w:p>
    <w:p w14:paraId="07D89F1B" w14:textId="77777777" w:rsidR="003B0D69" w:rsidRPr="00FE2E4E" w:rsidRDefault="0009615D" w:rsidP="00B933CE">
      <w:pPr>
        <w:numPr>
          <w:ilvl w:val="0"/>
          <w:numId w:val="4"/>
        </w:numPr>
        <w:rPr>
          <w:rFonts w:asciiTheme="minorHAnsi" w:hAnsiTheme="minorHAnsi" w:cstheme="minorHAnsi"/>
          <w:sz w:val="22"/>
        </w:rPr>
      </w:pPr>
      <w:r w:rsidRPr="00FE2E4E">
        <w:rPr>
          <w:rFonts w:asciiTheme="minorHAnsi" w:hAnsiTheme="minorHAnsi" w:cstheme="minorHAnsi"/>
          <w:sz w:val="22"/>
        </w:rPr>
        <w:t xml:space="preserve">NOC is valid for six months (extendable for a further maximum period of 3 months). </w:t>
      </w:r>
    </w:p>
    <w:p w14:paraId="1C5C8D60" w14:textId="7BDCD2A5" w:rsidR="003B0D69" w:rsidRPr="00FE2E4E" w:rsidRDefault="008757AC" w:rsidP="008757AC">
      <w:pPr>
        <w:numPr>
          <w:ilvl w:val="0"/>
          <w:numId w:val="4"/>
        </w:numPr>
        <w:rPr>
          <w:rFonts w:asciiTheme="minorHAnsi" w:hAnsiTheme="minorHAnsi" w:cstheme="minorHAnsi"/>
          <w:sz w:val="22"/>
        </w:rPr>
      </w:pPr>
      <w:r w:rsidRPr="00FE2E4E">
        <w:rPr>
          <w:rFonts w:asciiTheme="minorHAnsi" w:hAnsiTheme="minorHAnsi" w:cstheme="minorHAnsi"/>
          <w:sz w:val="22"/>
        </w:rPr>
        <w:t xml:space="preserve">During the validity of </w:t>
      </w:r>
      <w:r w:rsidR="007A468C" w:rsidRPr="00FE2E4E">
        <w:rPr>
          <w:rFonts w:asciiTheme="minorHAnsi" w:hAnsiTheme="minorHAnsi" w:cstheme="minorHAnsi"/>
          <w:sz w:val="22"/>
        </w:rPr>
        <w:t>the NOC,</w:t>
      </w:r>
      <w:r w:rsidRPr="00FE2E4E">
        <w:rPr>
          <w:rFonts w:asciiTheme="minorHAnsi" w:hAnsiTheme="minorHAnsi" w:cstheme="minorHAnsi"/>
          <w:sz w:val="22"/>
        </w:rPr>
        <w:t xml:space="preserve"> the promoters shall get the NBFC </w:t>
      </w:r>
      <w:r w:rsidR="00C36437" w:rsidRPr="00FE2E4E">
        <w:rPr>
          <w:rFonts w:asciiTheme="minorHAnsi" w:hAnsiTheme="minorHAnsi" w:cstheme="minorHAnsi"/>
          <w:sz w:val="22"/>
        </w:rPr>
        <w:t xml:space="preserve">/ PFMC </w:t>
      </w:r>
      <w:r w:rsidRPr="00FE2E4E">
        <w:rPr>
          <w:rFonts w:asciiTheme="minorHAnsi" w:hAnsiTheme="minorHAnsi" w:cstheme="minorHAnsi"/>
          <w:sz w:val="22"/>
        </w:rPr>
        <w:t xml:space="preserve">incorporated and </w:t>
      </w:r>
      <w:proofErr w:type="gramStart"/>
      <w:r w:rsidRPr="00FE2E4E">
        <w:rPr>
          <w:rFonts w:asciiTheme="minorHAnsi" w:hAnsiTheme="minorHAnsi" w:cstheme="minorHAnsi"/>
          <w:sz w:val="22"/>
        </w:rPr>
        <w:t>submit an application</w:t>
      </w:r>
      <w:proofErr w:type="gramEnd"/>
      <w:r w:rsidRPr="00FE2E4E">
        <w:rPr>
          <w:rFonts w:asciiTheme="minorHAnsi" w:hAnsiTheme="minorHAnsi" w:cstheme="minorHAnsi"/>
          <w:sz w:val="22"/>
        </w:rPr>
        <w:t xml:space="preserve"> to the Commission for grant of license </w:t>
      </w:r>
      <w:r w:rsidR="0009615D" w:rsidRPr="00FE2E4E">
        <w:rPr>
          <w:rFonts w:asciiTheme="minorHAnsi" w:hAnsiTheme="minorHAnsi" w:cstheme="minorHAnsi"/>
          <w:sz w:val="22"/>
        </w:rPr>
        <w:t>to undertake NBFC</w:t>
      </w:r>
      <w:r w:rsidR="00C36437" w:rsidRPr="00FE2E4E">
        <w:rPr>
          <w:rFonts w:asciiTheme="minorHAnsi" w:hAnsiTheme="minorHAnsi" w:cstheme="minorHAnsi"/>
          <w:sz w:val="22"/>
        </w:rPr>
        <w:t xml:space="preserve"> / PFMC</w:t>
      </w:r>
      <w:r w:rsidRPr="00FE2E4E">
        <w:rPr>
          <w:rFonts w:asciiTheme="minorHAnsi" w:hAnsiTheme="minorHAnsi" w:cstheme="minorHAnsi"/>
          <w:sz w:val="22"/>
        </w:rPr>
        <w:t xml:space="preserve">. </w:t>
      </w:r>
    </w:p>
    <w:p w14:paraId="25A8690E" w14:textId="77777777" w:rsidR="00B933CE" w:rsidRPr="00FE2E4E" w:rsidRDefault="00B933CE" w:rsidP="00B933CE">
      <w:pPr>
        <w:rPr>
          <w:rFonts w:asciiTheme="minorHAnsi" w:hAnsiTheme="minorHAnsi" w:cstheme="minorHAnsi"/>
          <w:b/>
          <w:bCs/>
          <w:sz w:val="22"/>
        </w:rPr>
      </w:pPr>
    </w:p>
    <w:p w14:paraId="48D2F502" w14:textId="6E6C740D" w:rsidR="00B933CE" w:rsidRPr="00FE2E4E" w:rsidRDefault="00B933CE" w:rsidP="00B933CE">
      <w:pPr>
        <w:rPr>
          <w:rFonts w:asciiTheme="minorHAnsi" w:hAnsiTheme="minorHAnsi" w:cstheme="minorHAnsi"/>
          <w:sz w:val="22"/>
        </w:rPr>
      </w:pPr>
      <w:r w:rsidRPr="00FE2E4E">
        <w:rPr>
          <w:rFonts w:asciiTheme="minorHAnsi" w:hAnsiTheme="minorHAnsi" w:cstheme="minorHAnsi"/>
          <w:b/>
          <w:bCs/>
          <w:sz w:val="22"/>
        </w:rPr>
        <w:t>Incorporation of NBFC</w:t>
      </w:r>
      <w:r w:rsidR="00C36437" w:rsidRPr="00FE2E4E">
        <w:rPr>
          <w:rFonts w:asciiTheme="minorHAnsi" w:hAnsiTheme="minorHAnsi" w:cstheme="minorHAnsi"/>
          <w:b/>
          <w:bCs/>
          <w:sz w:val="22"/>
        </w:rPr>
        <w:t xml:space="preserve"> / PFMC</w:t>
      </w:r>
    </w:p>
    <w:p w14:paraId="600E2D09" w14:textId="14662F46" w:rsidR="00B933CE" w:rsidRPr="00FE2E4E" w:rsidRDefault="00B933CE" w:rsidP="00B933CE">
      <w:pPr>
        <w:pStyle w:val="ListParagraph"/>
        <w:numPr>
          <w:ilvl w:val="0"/>
          <w:numId w:val="4"/>
        </w:numPr>
        <w:rPr>
          <w:rFonts w:asciiTheme="minorHAnsi" w:hAnsiTheme="minorHAnsi" w:cstheme="minorHAnsi"/>
          <w:sz w:val="22"/>
        </w:rPr>
      </w:pPr>
      <w:r w:rsidRPr="00FE2E4E">
        <w:rPr>
          <w:rFonts w:asciiTheme="minorHAnsi" w:hAnsiTheme="minorHAnsi" w:cstheme="minorHAnsi"/>
          <w:sz w:val="22"/>
        </w:rPr>
        <w:t>Promoters shall incorporate the company as a private or public company at the relevant Company Registration Office</w:t>
      </w:r>
      <w:r w:rsidR="00220F7B" w:rsidRPr="00FE2E4E">
        <w:rPr>
          <w:rFonts w:asciiTheme="minorHAnsi" w:hAnsiTheme="minorHAnsi" w:cstheme="minorHAnsi"/>
          <w:sz w:val="22"/>
        </w:rPr>
        <w:t>.</w:t>
      </w:r>
      <w:r w:rsidRPr="00FE2E4E">
        <w:rPr>
          <w:rFonts w:asciiTheme="minorHAnsi" w:hAnsiTheme="minorHAnsi" w:cstheme="minorHAnsi"/>
          <w:sz w:val="22"/>
        </w:rPr>
        <w:t xml:space="preserve"> </w:t>
      </w:r>
    </w:p>
    <w:p w14:paraId="2F305990" w14:textId="312BFBCC" w:rsidR="001F6547" w:rsidRPr="00FE2E4E" w:rsidRDefault="001F6547" w:rsidP="00B933CE">
      <w:pPr>
        <w:pStyle w:val="ListParagraph"/>
        <w:numPr>
          <w:ilvl w:val="0"/>
          <w:numId w:val="4"/>
        </w:numPr>
        <w:rPr>
          <w:rFonts w:asciiTheme="minorHAnsi" w:hAnsiTheme="minorHAnsi" w:cstheme="minorHAnsi"/>
          <w:sz w:val="22"/>
        </w:rPr>
      </w:pPr>
      <w:r w:rsidRPr="00FE2E4E">
        <w:rPr>
          <w:rFonts w:asciiTheme="minorHAnsi" w:hAnsiTheme="minorHAnsi" w:cstheme="minorHAnsi"/>
          <w:color w:val="000000"/>
          <w:sz w:val="22"/>
        </w:rPr>
        <w:t>Form of a company: (</w:t>
      </w:r>
      <w:proofErr w:type="spellStart"/>
      <w:r w:rsidRPr="00FE2E4E">
        <w:rPr>
          <w:rFonts w:asciiTheme="minorHAnsi" w:hAnsiTheme="minorHAnsi" w:cstheme="minorHAnsi"/>
          <w:color w:val="000000"/>
          <w:sz w:val="22"/>
        </w:rPr>
        <w:t>i</w:t>
      </w:r>
      <w:proofErr w:type="spellEnd"/>
      <w:r w:rsidRPr="00FE2E4E">
        <w:rPr>
          <w:rFonts w:asciiTheme="minorHAnsi" w:hAnsiTheme="minorHAnsi" w:cstheme="minorHAnsi"/>
          <w:color w:val="000000"/>
          <w:sz w:val="22"/>
        </w:rPr>
        <w:t xml:space="preserve">) any form of company incorporated as NBFC as per rule 4 of </w:t>
      </w:r>
      <w:r w:rsidRPr="00FE2E4E">
        <w:rPr>
          <w:rFonts w:asciiTheme="minorHAnsi" w:hAnsiTheme="minorHAnsi" w:cstheme="minorHAnsi"/>
          <w:sz w:val="22"/>
        </w:rPr>
        <w:t>NBFC Rules, 2003; (ii</w:t>
      </w:r>
      <w:r w:rsidRPr="00FE2E4E">
        <w:rPr>
          <w:rFonts w:asciiTheme="minorHAnsi" w:hAnsiTheme="minorHAnsi" w:cstheme="minorHAnsi"/>
          <w:color w:val="000000"/>
          <w:sz w:val="22"/>
        </w:rPr>
        <w:t>) an existing fund management NBFC.</w:t>
      </w:r>
    </w:p>
    <w:p w14:paraId="1AE28DE9" w14:textId="77777777" w:rsidR="00B933CE" w:rsidRPr="00FE2E4E" w:rsidRDefault="00B933CE" w:rsidP="00B933CE">
      <w:pPr>
        <w:rPr>
          <w:rFonts w:asciiTheme="minorHAnsi" w:hAnsiTheme="minorHAnsi" w:cstheme="minorHAnsi"/>
          <w:sz w:val="22"/>
        </w:rPr>
      </w:pPr>
    </w:p>
    <w:p w14:paraId="006ADCBE" w14:textId="3EBCF82B" w:rsidR="00B933CE" w:rsidRPr="00FE2E4E" w:rsidRDefault="00B933CE" w:rsidP="00B933CE">
      <w:pPr>
        <w:rPr>
          <w:rFonts w:asciiTheme="minorHAnsi" w:hAnsiTheme="minorHAnsi" w:cstheme="minorHAnsi"/>
          <w:b/>
          <w:sz w:val="22"/>
        </w:rPr>
      </w:pPr>
      <w:r w:rsidRPr="00FE2E4E">
        <w:rPr>
          <w:rFonts w:asciiTheme="minorHAnsi" w:hAnsiTheme="minorHAnsi" w:cstheme="minorHAnsi"/>
          <w:b/>
          <w:sz w:val="22"/>
        </w:rPr>
        <w:t>License to Carry-Out the Business as NBFC</w:t>
      </w:r>
      <w:r w:rsidR="00C36437" w:rsidRPr="00FE2E4E">
        <w:rPr>
          <w:rFonts w:asciiTheme="minorHAnsi" w:hAnsiTheme="minorHAnsi" w:cstheme="minorHAnsi"/>
          <w:b/>
          <w:sz w:val="22"/>
        </w:rPr>
        <w:t xml:space="preserve"> / PFMC</w:t>
      </w:r>
    </w:p>
    <w:p w14:paraId="1EA3283D" w14:textId="25EE833E" w:rsidR="00B933CE" w:rsidRPr="00FE2E4E" w:rsidRDefault="00B933CE" w:rsidP="00FC2F5D">
      <w:pPr>
        <w:pStyle w:val="ListParagraph"/>
        <w:numPr>
          <w:ilvl w:val="0"/>
          <w:numId w:val="4"/>
        </w:numPr>
        <w:rPr>
          <w:rFonts w:asciiTheme="minorHAnsi" w:hAnsiTheme="minorHAnsi" w:cstheme="minorHAnsi"/>
          <w:sz w:val="22"/>
        </w:rPr>
      </w:pPr>
      <w:r w:rsidRPr="00FE2E4E">
        <w:rPr>
          <w:rFonts w:asciiTheme="minorHAnsi" w:hAnsiTheme="minorHAnsi" w:cstheme="minorHAnsi"/>
          <w:sz w:val="22"/>
        </w:rPr>
        <w:t>Promoters, after incorporation of the company shall apply to the Commission for grant of License to undertake the business as an NBFC</w:t>
      </w:r>
      <w:r w:rsidR="001F6547" w:rsidRPr="00FE2E4E">
        <w:rPr>
          <w:rFonts w:asciiTheme="minorHAnsi" w:hAnsiTheme="minorHAnsi" w:cstheme="minorHAnsi"/>
          <w:sz w:val="22"/>
        </w:rPr>
        <w:t xml:space="preserve"> </w:t>
      </w:r>
      <w:r w:rsidR="00C32E39" w:rsidRPr="00FE2E4E">
        <w:rPr>
          <w:rFonts w:asciiTheme="minorHAnsi" w:hAnsiTheme="minorHAnsi" w:cstheme="minorHAnsi"/>
          <w:sz w:val="22"/>
        </w:rPr>
        <w:t xml:space="preserve">/ PFMC </w:t>
      </w:r>
      <w:r w:rsidR="001F6547" w:rsidRPr="00FE2E4E">
        <w:rPr>
          <w:rFonts w:asciiTheme="minorHAnsi" w:hAnsiTheme="minorHAnsi" w:cstheme="minorHAnsi"/>
          <w:sz w:val="22"/>
        </w:rPr>
        <w:t xml:space="preserve">as per </w:t>
      </w:r>
      <w:r w:rsidR="001F6547" w:rsidRPr="00FE2E4E">
        <w:rPr>
          <w:rFonts w:asciiTheme="minorHAnsi" w:hAnsiTheme="minorHAnsi" w:cstheme="minorHAnsi"/>
          <w:b/>
          <w:sz w:val="22"/>
        </w:rPr>
        <w:t>Form-II</w:t>
      </w:r>
      <w:r w:rsidR="001F6547" w:rsidRPr="00FE2E4E">
        <w:rPr>
          <w:rFonts w:asciiTheme="minorHAnsi" w:hAnsiTheme="minorHAnsi" w:cstheme="minorHAnsi"/>
          <w:sz w:val="22"/>
        </w:rPr>
        <w:t xml:space="preserve"> of NBFC Rules, 2003</w:t>
      </w:r>
      <w:r w:rsidR="00C36437" w:rsidRPr="00FE2E4E">
        <w:rPr>
          <w:rFonts w:asciiTheme="minorHAnsi" w:hAnsiTheme="minorHAnsi" w:cstheme="minorHAnsi"/>
          <w:sz w:val="22"/>
        </w:rPr>
        <w:t xml:space="preserve">. </w:t>
      </w:r>
      <w:r w:rsidR="00FC2F5D" w:rsidRPr="00FE2E4E">
        <w:rPr>
          <w:rFonts w:asciiTheme="minorHAnsi" w:hAnsiTheme="minorHAnsi" w:cstheme="minorHAnsi"/>
          <w:sz w:val="22"/>
        </w:rPr>
        <w:t xml:space="preserve"> </w:t>
      </w:r>
    </w:p>
    <w:p w14:paraId="1B309FF9" w14:textId="6B8C33AD" w:rsidR="004F7B47" w:rsidRPr="00FE2E4E" w:rsidRDefault="004F7B47" w:rsidP="00FC2F5D">
      <w:pPr>
        <w:pStyle w:val="ListParagraph"/>
        <w:numPr>
          <w:ilvl w:val="0"/>
          <w:numId w:val="4"/>
        </w:numPr>
        <w:rPr>
          <w:rFonts w:asciiTheme="minorHAnsi" w:hAnsiTheme="minorHAnsi" w:cstheme="minorHAnsi"/>
          <w:sz w:val="22"/>
        </w:rPr>
      </w:pPr>
      <w:r w:rsidRPr="00FE2E4E">
        <w:rPr>
          <w:rFonts w:asciiTheme="minorHAnsi" w:hAnsiTheme="minorHAnsi" w:cstheme="minorHAnsi"/>
          <w:sz w:val="22"/>
        </w:rPr>
        <w:t xml:space="preserve">The license granted shall be valid for three </w:t>
      </w:r>
      <w:r w:rsidR="00D144B0" w:rsidRPr="00FE2E4E">
        <w:rPr>
          <w:rFonts w:asciiTheme="minorHAnsi" w:hAnsiTheme="minorHAnsi" w:cstheme="minorHAnsi"/>
          <w:sz w:val="22"/>
        </w:rPr>
        <w:t xml:space="preserve">(3) </w:t>
      </w:r>
      <w:r w:rsidRPr="00FE2E4E">
        <w:rPr>
          <w:rFonts w:asciiTheme="minorHAnsi" w:hAnsiTheme="minorHAnsi" w:cstheme="minorHAnsi"/>
          <w:sz w:val="22"/>
        </w:rPr>
        <w:t xml:space="preserve">years from the date of its issuance and shall be renewable upon expiry of the said period by making an application at least one month prior to the expiry as set out in </w:t>
      </w:r>
      <w:r w:rsidRPr="00FE2E4E">
        <w:rPr>
          <w:rFonts w:asciiTheme="minorHAnsi" w:hAnsiTheme="minorHAnsi" w:cstheme="minorHAnsi"/>
          <w:b/>
          <w:sz w:val="22"/>
        </w:rPr>
        <w:t>Form IV</w:t>
      </w:r>
      <w:r w:rsidR="00D144B0" w:rsidRPr="00FE2E4E">
        <w:rPr>
          <w:rFonts w:asciiTheme="minorHAnsi" w:hAnsiTheme="minorHAnsi" w:cstheme="minorHAnsi"/>
          <w:sz w:val="22"/>
        </w:rPr>
        <w:t xml:space="preserve"> of NBFC Rules, 2003</w:t>
      </w:r>
      <w:r w:rsidRPr="00FE2E4E">
        <w:rPr>
          <w:rFonts w:asciiTheme="minorHAnsi" w:hAnsiTheme="minorHAnsi" w:cstheme="minorHAnsi"/>
          <w:sz w:val="22"/>
        </w:rPr>
        <w:t>.</w:t>
      </w:r>
    </w:p>
    <w:p w14:paraId="7D52ACAF" w14:textId="3DEA39CF" w:rsidR="00EC676A" w:rsidRPr="007114DE" w:rsidRDefault="00B933CE" w:rsidP="007114DE">
      <w:pPr>
        <w:pStyle w:val="ListParagraph"/>
        <w:numPr>
          <w:ilvl w:val="0"/>
          <w:numId w:val="4"/>
        </w:numPr>
        <w:rPr>
          <w:rFonts w:asciiTheme="minorHAnsi" w:hAnsiTheme="minorHAnsi" w:cstheme="minorHAnsi"/>
          <w:sz w:val="22"/>
        </w:rPr>
      </w:pPr>
      <w:r w:rsidRPr="00FE2E4E">
        <w:rPr>
          <w:rFonts w:asciiTheme="minorHAnsi" w:hAnsiTheme="minorHAnsi" w:cstheme="minorHAnsi"/>
          <w:sz w:val="22"/>
        </w:rPr>
        <w:t xml:space="preserve">The detail of documents required and procedure for grant of license is tabulated below: </w:t>
      </w:r>
    </w:p>
    <w:p w14:paraId="0B781FA1" w14:textId="77777777" w:rsidR="00EC676A" w:rsidRPr="00FE2E4E" w:rsidRDefault="00EC676A">
      <w:pPr>
        <w:rPr>
          <w:rFonts w:asciiTheme="minorHAnsi" w:hAnsiTheme="minorHAnsi" w:cstheme="minorHAnsi"/>
          <w:sz w:val="22"/>
        </w:rPr>
      </w:pPr>
    </w:p>
    <w:tbl>
      <w:tblPr>
        <w:tblStyle w:val="TableGrid"/>
        <w:tblW w:w="10485" w:type="dxa"/>
        <w:tblLook w:val="04A0" w:firstRow="1" w:lastRow="0" w:firstColumn="1" w:lastColumn="0" w:noHBand="0" w:noVBand="1"/>
      </w:tblPr>
      <w:tblGrid>
        <w:gridCol w:w="562"/>
        <w:gridCol w:w="9923"/>
      </w:tblGrid>
      <w:tr w:rsidR="00B933CE" w:rsidRPr="00FE2E4E" w14:paraId="6AE63BD1" w14:textId="77777777" w:rsidTr="0009615D">
        <w:trPr>
          <w:trHeight w:val="404"/>
        </w:trPr>
        <w:tc>
          <w:tcPr>
            <w:tcW w:w="562" w:type="dxa"/>
            <w:shd w:val="clear" w:color="auto" w:fill="2F5496" w:themeFill="accent5" w:themeFillShade="BF"/>
          </w:tcPr>
          <w:p w14:paraId="4253BCF1" w14:textId="77777777" w:rsidR="00B933CE" w:rsidRPr="00FE2E4E" w:rsidRDefault="00B933CE" w:rsidP="005B46C0">
            <w:pPr>
              <w:autoSpaceDE w:val="0"/>
              <w:autoSpaceDN w:val="0"/>
              <w:adjustRightInd w:val="0"/>
              <w:jc w:val="both"/>
              <w:rPr>
                <w:rFonts w:asciiTheme="minorHAnsi" w:hAnsiTheme="minorHAnsi" w:cstheme="minorHAnsi"/>
                <w:b/>
                <w:bCs/>
                <w:color w:val="FFFFFF" w:themeColor="background1"/>
                <w:sz w:val="22"/>
              </w:rPr>
            </w:pPr>
            <w:r w:rsidRPr="00FE2E4E">
              <w:rPr>
                <w:rFonts w:asciiTheme="minorHAnsi" w:hAnsiTheme="minorHAnsi" w:cstheme="minorHAnsi"/>
                <w:b/>
                <w:bCs/>
                <w:color w:val="FFFFFF" w:themeColor="background1"/>
                <w:sz w:val="22"/>
              </w:rPr>
              <w:t>S #</w:t>
            </w:r>
          </w:p>
        </w:tc>
        <w:tc>
          <w:tcPr>
            <w:tcW w:w="9923" w:type="dxa"/>
            <w:shd w:val="clear" w:color="auto" w:fill="2F5496" w:themeFill="accent5" w:themeFillShade="BF"/>
          </w:tcPr>
          <w:p w14:paraId="218448B6" w14:textId="77777777" w:rsidR="00B933CE" w:rsidRPr="00FE2E4E" w:rsidRDefault="00B933CE" w:rsidP="005B46C0">
            <w:pPr>
              <w:autoSpaceDE w:val="0"/>
              <w:autoSpaceDN w:val="0"/>
              <w:adjustRightInd w:val="0"/>
              <w:jc w:val="both"/>
              <w:rPr>
                <w:rFonts w:asciiTheme="minorHAnsi" w:hAnsiTheme="minorHAnsi" w:cstheme="minorHAnsi"/>
                <w:b/>
                <w:bCs/>
                <w:color w:val="FFFFFF" w:themeColor="background1"/>
                <w:sz w:val="22"/>
              </w:rPr>
            </w:pPr>
            <w:r w:rsidRPr="00FE2E4E">
              <w:rPr>
                <w:rFonts w:asciiTheme="minorHAnsi" w:hAnsiTheme="minorHAnsi" w:cstheme="minorHAnsi"/>
                <w:b/>
                <w:bCs/>
                <w:color w:val="FFFFFF" w:themeColor="background1"/>
                <w:sz w:val="22"/>
              </w:rPr>
              <w:t>Requirement of Law</w:t>
            </w:r>
          </w:p>
        </w:tc>
      </w:tr>
      <w:tr w:rsidR="00B933CE" w:rsidRPr="00FE2E4E" w14:paraId="09884A8A" w14:textId="77777777" w:rsidTr="0009615D">
        <w:tc>
          <w:tcPr>
            <w:tcW w:w="562" w:type="dxa"/>
          </w:tcPr>
          <w:p w14:paraId="1D91A8A1"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1</w:t>
            </w:r>
          </w:p>
        </w:tc>
        <w:tc>
          <w:tcPr>
            <w:tcW w:w="9923" w:type="dxa"/>
          </w:tcPr>
          <w:p w14:paraId="77FEEAF2" w14:textId="16F30871" w:rsidR="00B933CE" w:rsidRPr="00FE2E4E" w:rsidRDefault="00B933CE" w:rsidP="00E03985">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Date of incorporation as a limited company (</w:t>
            </w:r>
            <w:r w:rsidR="00A0313E" w:rsidRPr="00FE2E4E">
              <w:rPr>
                <w:rFonts w:asciiTheme="minorHAnsi" w:hAnsiTheme="minorHAnsi" w:cstheme="minorHAnsi"/>
                <w:color w:val="000000"/>
                <w:sz w:val="22"/>
              </w:rPr>
              <w:t>any form</w:t>
            </w:r>
            <w:r w:rsidRPr="00FE2E4E">
              <w:rPr>
                <w:rFonts w:asciiTheme="minorHAnsi" w:hAnsiTheme="minorHAnsi" w:cstheme="minorHAnsi"/>
                <w:color w:val="000000"/>
                <w:sz w:val="22"/>
              </w:rPr>
              <w:t>)</w:t>
            </w:r>
          </w:p>
        </w:tc>
      </w:tr>
      <w:tr w:rsidR="00B933CE" w:rsidRPr="00FE2E4E" w14:paraId="6A06A369" w14:textId="77777777" w:rsidTr="0009615D">
        <w:tc>
          <w:tcPr>
            <w:tcW w:w="562" w:type="dxa"/>
          </w:tcPr>
          <w:p w14:paraId="4CA05717"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2</w:t>
            </w:r>
          </w:p>
        </w:tc>
        <w:tc>
          <w:tcPr>
            <w:tcW w:w="9923" w:type="dxa"/>
          </w:tcPr>
          <w:p w14:paraId="3E39E7B8"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Authorized, subscribed and paid-up share capital of the company (sponsors' equity indicated separately);</w:t>
            </w:r>
          </w:p>
          <w:p w14:paraId="2BB8C267" w14:textId="472FE60B" w:rsidR="003A2020" w:rsidRPr="00FE2E4E" w:rsidRDefault="00B933CE" w:rsidP="0022244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Minimum Equity Requirements</w:t>
            </w:r>
            <w:r w:rsidR="00222440" w:rsidRPr="00FE2E4E">
              <w:rPr>
                <w:rFonts w:asciiTheme="minorHAnsi" w:hAnsiTheme="minorHAnsi" w:cstheme="minorHAnsi"/>
                <w:color w:val="000000"/>
                <w:sz w:val="22"/>
              </w:rPr>
              <w:t xml:space="preserve"> for Private Fund Management Company </w:t>
            </w:r>
            <w:r w:rsidR="000547E6" w:rsidRPr="00FE2E4E">
              <w:rPr>
                <w:rFonts w:asciiTheme="minorHAnsi" w:hAnsiTheme="minorHAnsi" w:cstheme="minorHAnsi"/>
                <w:color w:val="000000"/>
                <w:sz w:val="22"/>
              </w:rPr>
              <w:t xml:space="preserve">is </w:t>
            </w:r>
            <w:r w:rsidR="003A2020" w:rsidRPr="00FE2E4E">
              <w:rPr>
                <w:rFonts w:asciiTheme="minorHAnsi" w:hAnsiTheme="minorHAnsi" w:cstheme="minorHAnsi"/>
                <w:color w:val="000000"/>
                <w:sz w:val="22"/>
              </w:rPr>
              <w:t>Rs 10 million</w:t>
            </w:r>
            <w:r w:rsidR="00222440" w:rsidRPr="00FE2E4E">
              <w:rPr>
                <w:rFonts w:asciiTheme="minorHAnsi" w:hAnsiTheme="minorHAnsi" w:cstheme="minorHAnsi"/>
                <w:color w:val="000000"/>
                <w:sz w:val="22"/>
              </w:rPr>
              <w:t>.</w:t>
            </w:r>
          </w:p>
        </w:tc>
      </w:tr>
      <w:tr w:rsidR="00B933CE" w:rsidRPr="00FE2E4E" w14:paraId="3E8F75B7" w14:textId="77777777" w:rsidTr="0009615D">
        <w:tc>
          <w:tcPr>
            <w:tcW w:w="562" w:type="dxa"/>
          </w:tcPr>
          <w:p w14:paraId="1BB7E39D"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3</w:t>
            </w:r>
          </w:p>
        </w:tc>
        <w:tc>
          <w:tcPr>
            <w:tcW w:w="9923" w:type="dxa"/>
          </w:tcPr>
          <w:p w14:paraId="78A3CA29"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Minimum number of directors is 2 or as stipulated in Companies Act, 2017</w:t>
            </w:r>
          </w:p>
        </w:tc>
      </w:tr>
      <w:tr w:rsidR="00B933CE" w:rsidRPr="00FE2E4E" w14:paraId="273F21F0" w14:textId="77777777" w:rsidTr="0009615D">
        <w:tc>
          <w:tcPr>
            <w:tcW w:w="562" w:type="dxa"/>
          </w:tcPr>
          <w:p w14:paraId="20A3B9D6"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4</w:t>
            </w:r>
          </w:p>
        </w:tc>
        <w:tc>
          <w:tcPr>
            <w:tcW w:w="9923" w:type="dxa"/>
          </w:tcPr>
          <w:p w14:paraId="441CFDBD"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1 or one third, whichever is higher, of the directors should be independent</w:t>
            </w:r>
          </w:p>
        </w:tc>
      </w:tr>
      <w:tr w:rsidR="00B933CE" w:rsidRPr="00FE2E4E" w14:paraId="3F30A8C2" w14:textId="77777777" w:rsidTr="0009615D">
        <w:tc>
          <w:tcPr>
            <w:tcW w:w="562" w:type="dxa"/>
          </w:tcPr>
          <w:p w14:paraId="3C05CBB4"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5</w:t>
            </w:r>
          </w:p>
        </w:tc>
        <w:tc>
          <w:tcPr>
            <w:tcW w:w="9923" w:type="dxa"/>
          </w:tcPr>
          <w:p w14:paraId="45649839" w14:textId="77777777" w:rsidR="00B933CE" w:rsidRPr="00FE2E4E" w:rsidRDefault="00EF7899" w:rsidP="0009615D">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1</w:t>
            </w:r>
            <w:r w:rsidR="0009615D" w:rsidRPr="00FE2E4E">
              <w:rPr>
                <w:rFonts w:asciiTheme="minorHAnsi" w:hAnsiTheme="minorHAnsi" w:cstheme="minorHAnsi"/>
                <w:color w:val="000000"/>
                <w:sz w:val="22"/>
              </w:rPr>
              <w:t xml:space="preserve"> of the directors should have relevant experience of at least 5 year at a senior management level if the total number of directors including CEO is less than or equal to three. If the number of directors including CEO is greater than 3 then 2 of the directors should have relevant experience of at least 5 years at a senior management level.</w:t>
            </w:r>
          </w:p>
        </w:tc>
      </w:tr>
      <w:tr w:rsidR="00B933CE" w:rsidRPr="00FE2E4E" w14:paraId="3D68BB63" w14:textId="77777777" w:rsidTr="0009615D">
        <w:tc>
          <w:tcPr>
            <w:tcW w:w="562" w:type="dxa"/>
          </w:tcPr>
          <w:p w14:paraId="48C70373" w14:textId="77777777" w:rsidR="00B933CE" w:rsidRPr="00FE2E4E" w:rsidRDefault="0009615D" w:rsidP="0009615D">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6</w:t>
            </w:r>
          </w:p>
        </w:tc>
        <w:tc>
          <w:tcPr>
            <w:tcW w:w="9923" w:type="dxa"/>
          </w:tcPr>
          <w:p w14:paraId="15DC3EFA"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Names and addresses of directors and number of shares held by each of them</w:t>
            </w:r>
          </w:p>
        </w:tc>
      </w:tr>
      <w:tr w:rsidR="00B933CE" w:rsidRPr="00FE2E4E" w14:paraId="19B66B2C" w14:textId="77777777" w:rsidTr="0009615D">
        <w:tc>
          <w:tcPr>
            <w:tcW w:w="562" w:type="dxa"/>
          </w:tcPr>
          <w:p w14:paraId="75E99223" w14:textId="77777777" w:rsidR="00B933CE" w:rsidRPr="00FE2E4E" w:rsidRDefault="0009615D"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7</w:t>
            </w:r>
          </w:p>
        </w:tc>
        <w:tc>
          <w:tcPr>
            <w:tcW w:w="9923" w:type="dxa"/>
          </w:tcPr>
          <w:p w14:paraId="1C984C5E"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Directors' interest, direct or indirect, in any other company with details of such interest;</w:t>
            </w:r>
          </w:p>
        </w:tc>
      </w:tr>
      <w:tr w:rsidR="0009615D" w:rsidRPr="00FE2E4E" w14:paraId="1274DAF6" w14:textId="77777777" w:rsidTr="0009615D">
        <w:tc>
          <w:tcPr>
            <w:tcW w:w="562" w:type="dxa"/>
          </w:tcPr>
          <w:p w14:paraId="063A333B" w14:textId="77777777" w:rsidR="0009615D" w:rsidRPr="00FE2E4E" w:rsidRDefault="0009615D"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8</w:t>
            </w:r>
          </w:p>
        </w:tc>
        <w:tc>
          <w:tcPr>
            <w:tcW w:w="9923" w:type="dxa"/>
          </w:tcPr>
          <w:p w14:paraId="01CC1369" w14:textId="503AB58C" w:rsidR="0009615D" w:rsidRPr="00FE2E4E" w:rsidRDefault="0009615D" w:rsidP="00AD1F47">
            <w:pPr>
              <w:tabs>
                <w:tab w:val="num" w:pos="1440"/>
              </w:tabs>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 xml:space="preserve">Assessment of fitness &amp; propriety of the following as per Fit and Proper Criteria provided in Schedule IX of NBFC Regulations, 2008 of </w:t>
            </w:r>
            <w:r w:rsidR="00AD1F47" w:rsidRPr="00FE2E4E">
              <w:rPr>
                <w:rFonts w:asciiTheme="minorHAnsi" w:hAnsiTheme="minorHAnsi" w:cstheme="minorHAnsi"/>
                <w:color w:val="000000"/>
                <w:sz w:val="22"/>
              </w:rPr>
              <w:t>(</w:t>
            </w:r>
            <w:proofErr w:type="spellStart"/>
            <w:r w:rsidR="00AD1F47" w:rsidRPr="00FE2E4E">
              <w:rPr>
                <w:rFonts w:asciiTheme="minorHAnsi" w:hAnsiTheme="minorHAnsi" w:cstheme="minorHAnsi"/>
                <w:color w:val="000000"/>
                <w:sz w:val="22"/>
              </w:rPr>
              <w:t>i</w:t>
            </w:r>
            <w:proofErr w:type="spellEnd"/>
            <w:r w:rsidR="00AD1F47" w:rsidRPr="00FE2E4E">
              <w:rPr>
                <w:rFonts w:asciiTheme="minorHAnsi" w:hAnsiTheme="minorHAnsi" w:cstheme="minorHAnsi"/>
                <w:color w:val="000000"/>
                <w:sz w:val="22"/>
              </w:rPr>
              <w:t>) promoters and major shareholders, (ii) Director, (iii) Chief Executive, and (iv) Key Executives</w:t>
            </w:r>
            <w:r w:rsidRPr="00FE2E4E">
              <w:rPr>
                <w:rFonts w:asciiTheme="minorHAnsi" w:hAnsiTheme="minorHAnsi" w:cstheme="minorHAnsi"/>
                <w:color w:val="000000"/>
                <w:sz w:val="22"/>
              </w:rPr>
              <w:t>, on the following parameters:</w:t>
            </w:r>
          </w:p>
          <w:p w14:paraId="0D1166BC" w14:textId="77777777" w:rsidR="0009615D" w:rsidRPr="00FE2E4E" w:rsidRDefault="0009615D" w:rsidP="0009615D">
            <w:pPr>
              <w:numPr>
                <w:ilvl w:val="0"/>
                <w:numId w:val="2"/>
              </w:num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 xml:space="preserve">Integrity and track record of such person; </w:t>
            </w:r>
          </w:p>
          <w:p w14:paraId="6F9EE7A1" w14:textId="77777777" w:rsidR="0009615D" w:rsidRPr="00FE2E4E" w:rsidRDefault="0009615D" w:rsidP="0009615D">
            <w:pPr>
              <w:numPr>
                <w:ilvl w:val="0"/>
                <w:numId w:val="2"/>
              </w:num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 xml:space="preserve">Financial soundness of such a person; </w:t>
            </w:r>
          </w:p>
          <w:p w14:paraId="3E28F833" w14:textId="77777777" w:rsidR="0009615D" w:rsidRPr="00FE2E4E" w:rsidRDefault="0009615D" w:rsidP="0009615D">
            <w:pPr>
              <w:numPr>
                <w:ilvl w:val="0"/>
                <w:numId w:val="2"/>
              </w:num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 xml:space="preserve">Competence and capability of the person; and </w:t>
            </w:r>
          </w:p>
          <w:p w14:paraId="44C69CA9" w14:textId="77777777" w:rsidR="0009615D" w:rsidRPr="00FE2E4E" w:rsidRDefault="0009615D" w:rsidP="0009615D">
            <w:pPr>
              <w:numPr>
                <w:ilvl w:val="0"/>
                <w:numId w:val="2"/>
              </w:num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Conflict of interest of such person with the business of the NBFC and Investment</w:t>
            </w:r>
          </w:p>
        </w:tc>
      </w:tr>
      <w:tr w:rsidR="00B933CE" w:rsidRPr="00FE2E4E" w14:paraId="247B8E70" w14:textId="77777777" w:rsidTr="0009615D">
        <w:tc>
          <w:tcPr>
            <w:tcW w:w="562" w:type="dxa"/>
          </w:tcPr>
          <w:p w14:paraId="2800C17F" w14:textId="77777777" w:rsidR="00B933CE" w:rsidRPr="00FE2E4E" w:rsidRDefault="0009615D"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lastRenderedPageBreak/>
              <w:t>9</w:t>
            </w:r>
          </w:p>
        </w:tc>
        <w:tc>
          <w:tcPr>
            <w:tcW w:w="9923" w:type="dxa"/>
          </w:tcPr>
          <w:p w14:paraId="400BEC78"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Details of persons or group controlling the company including major shareholders with number and value of shares held;</w:t>
            </w:r>
          </w:p>
        </w:tc>
      </w:tr>
      <w:tr w:rsidR="00B933CE" w:rsidRPr="00FE2E4E" w14:paraId="24C642A9" w14:textId="77777777" w:rsidTr="0009615D">
        <w:trPr>
          <w:trHeight w:val="349"/>
        </w:trPr>
        <w:tc>
          <w:tcPr>
            <w:tcW w:w="562" w:type="dxa"/>
          </w:tcPr>
          <w:p w14:paraId="3314262C" w14:textId="77777777" w:rsidR="00B933CE" w:rsidRPr="00FE2E4E" w:rsidRDefault="0009615D"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10</w:t>
            </w:r>
          </w:p>
        </w:tc>
        <w:tc>
          <w:tcPr>
            <w:tcW w:w="9923" w:type="dxa"/>
          </w:tcPr>
          <w:p w14:paraId="27092467"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Names of holding, subsidiary and associated undertaking, if any;</w:t>
            </w:r>
          </w:p>
        </w:tc>
      </w:tr>
      <w:tr w:rsidR="00B933CE" w:rsidRPr="00FE2E4E" w14:paraId="697B65E8" w14:textId="77777777" w:rsidTr="0009615D">
        <w:tc>
          <w:tcPr>
            <w:tcW w:w="562" w:type="dxa"/>
          </w:tcPr>
          <w:p w14:paraId="64F80C8F" w14:textId="77777777" w:rsidR="00B933CE" w:rsidRPr="00FE2E4E" w:rsidRDefault="0009615D"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11</w:t>
            </w:r>
          </w:p>
        </w:tc>
        <w:tc>
          <w:tcPr>
            <w:tcW w:w="9923" w:type="dxa"/>
          </w:tcPr>
          <w:p w14:paraId="1B06A883"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Details of qualified staff engaged</w:t>
            </w:r>
          </w:p>
        </w:tc>
      </w:tr>
      <w:tr w:rsidR="00B933CE" w:rsidRPr="00FE2E4E" w14:paraId="4C7B4CDC" w14:textId="77777777" w:rsidTr="0009615D">
        <w:tc>
          <w:tcPr>
            <w:tcW w:w="562" w:type="dxa"/>
          </w:tcPr>
          <w:p w14:paraId="3E015796" w14:textId="77777777" w:rsidR="00B933CE" w:rsidRPr="00FE2E4E" w:rsidRDefault="0009615D"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12</w:t>
            </w:r>
          </w:p>
        </w:tc>
        <w:tc>
          <w:tcPr>
            <w:tcW w:w="9923" w:type="dxa"/>
          </w:tcPr>
          <w:p w14:paraId="5489FB52" w14:textId="0F37241D"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Reasons for selecting the proposed place of business with statistical data</w:t>
            </w:r>
          </w:p>
        </w:tc>
      </w:tr>
      <w:tr w:rsidR="00B933CE" w:rsidRPr="00FE2E4E" w14:paraId="55E28121" w14:textId="77777777" w:rsidTr="0009615D">
        <w:trPr>
          <w:trHeight w:val="395"/>
        </w:trPr>
        <w:tc>
          <w:tcPr>
            <w:tcW w:w="562" w:type="dxa"/>
          </w:tcPr>
          <w:p w14:paraId="3140661F" w14:textId="51712794" w:rsidR="00B933CE" w:rsidRPr="00FE2E4E" w:rsidRDefault="0009615D"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13</w:t>
            </w:r>
          </w:p>
        </w:tc>
        <w:tc>
          <w:tcPr>
            <w:tcW w:w="9923" w:type="dxa"/>
          </w:tcPr>
          <w:p w14:paraId="0E9A70B5"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Additional facts in support of this application</w:t>
            </w:r>
          </w:p>
        </w:tc>
      </w:tr>
      <w:tr w:rsidR="00B933CE" w:rsidRPr="00FE2E4E" w14:paraId="0B681E27" w14:textId="77777777" w:rsidTr="0009615D">
        <w:tc>
          <w:tcPr>
            <w:tcW w:w="562" w:type="dxa"/>
          </w:tcPr>
          <w:p w14:paraId="6D80C3B9" w14:textId="7D0837B2" w:rsidR="00B933CE" w:rsidRPr="00FE2E4E" w:rsidRDefault="0009615D"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14</w:t>
            </w:r>
          </w:p>
        </w:tc>
        <w:tc>
          <w:tcPr>
            <w:tcW w:w="9923" w:type="dxa"/>
          </w:tcPr>
          <w:p w14:paraId="7FE19042" w14:textId="4A2DAFF9"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 xml:space="preserve">Certified copies of the memorandum and articles of association and certificate of incorporation </w:t>
            </w:r>
          </w:p>
        </w:tc>
      </w:tr>
      <w:tr w:rsidR="00B933CE" w:rsidRPr="00FE2E4E" w14:paraId="46867EC7" w14:textId="77777777" w:rsidTr="0009615D">
        <w:tc>
          <w:tcPr>
            <w:tcW w:w="562" w:type="dxa"/>
          </w:tcPr>
          <w:p w14:paraId="3459807B" w14:textId="3F4DAD30" w:rsidR="00B933CE" w:rsidRPr="00FE2E4E" w:rsidRDefault="0009615D"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15</w:t>
            </w:r>
          </w:p>
        </w:tc>
        <w:tc>
          <w:tcPr>
            <w:tcW w:w="9923" w:type="dxa"/>
          </w:tcPr>
          <w:p w14:paraId="68A2BF01" w14:textId="77777777" w:rsidR="00B933CE" w:rsidRPr="00FE2E4E" w:rsidRDefault="00B933CE"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An affidavit as to the correctness of the above information by the chief executive and two directors.</w:t>
            </w:r>
          </w:p>
        </w:tc>
      </w:tr>
      <w:tr w:rsidR="00C32E39" w:rsidRPr="00FE2E4E" w14:paraId="7184CCFF" w14:textId="77777777" w:rsidTr="0009615D">
        <w:tc>
          <w:tcPr>
            <w:tcW w:w="562" w:type="dxa"/>
          </w:tcPr>
          <w:p w14:paraId="78ACD088" w14:textId="769D7492" w:rsidR="00C32E39" w:rsidRPr="00FE2E4E" w:rsidRDefault="00C32E39"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16</w:t>
            </w:r>
          </w:p>
        </w:tc>
        <w:tc>
          <w:tcPr>
            <w:tcW w:w="9923" w:type="dxa"/>
          </w:tcPr>
          <w:p w14:paraId="18C8FC53" w14:textId="1C2E451B" w:rsidR="00C32E39" w:rsidRPr="00FE2E4E" w:rsidRDefault="00C32E39"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Auditor’s certificate indicating compliance with minimum equity requirement.</w:t>
            </w:r>
          </w:p>
        </w:tc>
      </w:tr>
      <w:tr w:rsidR="00C32E39" w:rsidRPr="00FE2E4E" w14:paraId="2EB61347" w14:textId="77777777" w:rsidTr="0009615D">
        <w:tc>
          <w:tcPr>
            <w:tcW w:w="562" w:type="dxa"/>
          </w:tcPr>
          <w:p w14:paraId="58759CE6" w14:textId="06CDE8B1" w:rsidR="00C32E39" w:rsidRPr="00FE2E4E" w:rsidRDefault="00480CFB"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17</w:t>
            </w:r>
          </w:p>
        </w:tc>
        <w:tc>
          <w:tcPr>
            <w:tcW w:w="9923" w:type="dxa"/>
          </w:tcPr>
          <w:p w14:paraId="3311033D" w14:textId="60AE3BD4" w:rsidR="00C32E39" w:rsidRPr="00FE2E4E" w:rsidRDefault="00480CFB" w:rsidP="005B46C0">
            <w:pPr>
              <w:autoSpaceDE w:val="0"/>
              <w:autoSpaceDN w:val="0"/>
              <w:adjustRightInd w:val="0"/>
              <w:jc w:val="both"/>
              <w:rPr>
                <w:rFonts w:asciiTheme="minorHAnsi" w:hAnsiTheme="minorHAnsi" w:cstheme="minorHAnsi"/>
                <w:color w:val="000000"/>
                <w:sz w:val="22"/>
              </w:rPr>
            </w:pPr>
            <w:r w:rsidRPr="00FE2E4E">
              <w:rPr>
                <w:rFonts w:asciiTheme="minorHAnsi" w:hAnsiTheme="minorHAnsi" w:cstheme="minorHAnsi"/>
                <w:color w:val="000000"/>
                <w:sz w:val="22"/>
              </w:rPr>
              <w:t>Copy of Annual accounts</w:t>
            </w:r>
          </w:p>
        </w:tc>
      </w:tr>
    </w:tbl>
    <w:p w14:paraId="6302F461" w14:textId="77777777" w:rsidR="0009615D" w:rsidRPr="00FE2E4E" w:rsidRDefault="0009615D">
      <w:pPr>
        <w:rPr>
          <w:rFonts w:asciiTheme="minorHAnsi" w:hAnsiTheme="minorHAnsi" w:cstheme="minorHAnsi"/>
          <w:sz w:val="22"/>
        </w:rPr>
      </w:pPr>
    </w:p>
    <w:p w14:paraId="03662966" w14:textId="4E732632" w:rsidR="0009615D" w:rsidRPr="00016BD7" w:rsidRDefault="007114DE" w:rsidP="0009615D">
      <w:pPr>
        <w:jc w:val="both"/>
        <w:rPr>
          <w:rFonts w:asciiTheme="minorHAnsi" w:hAnsiTheme="minorHAnsi" w:cstheme="minorHAnsi"/>
          <w:sz w:val="22"/>
        </w:rPr>
      </w:pPr>
      <w:r w:rsidRPr="007114DE">
        <w:rPr>
          <w:rFonts w:asciiTheme="minorHAnsi" w:hAnsiTheme="minorHAnsi" w:cstheme="minorHAnsi"/>
          <w:b/>
          <w:sz w:val="22"/>
        </w:rPr>
        <w:t>Note:</w:t>
      </w:r>
      <w:r>
        <w:rPr>
          <w:rFonts w:asciiTheme="minorHAnsi" w:hAnsiTheme="minorHAnsi" w:cstheme="minorHAnsi"/>
          <w:sz w:val="22"/>
        </w:rPr>
        <w:t xml:space="preserve"> </w:t>
      </w:r>
      <w:r w:rsidR="0009615D" w:rsidRPr="00FE2E4E">
        <w:rPr>
          <w:rFonts w:asciiTheme="minorHAnsi" w:hAnsiTheme="minorHAnsi" w:cstheme="minorHAnsi"/>
          <w:sz w:val="22"/>
        </w:rPr>
        <w:t xml:space="preserve">Detailed process for approval to form NBFC and grant of license to undertake business as NBFC is provided </w:t>
      </w:r>
      <w:r w:rsidR="00386228" w:rsidRPr="00FE2E4E">
        <w:rPr>
          <w:rFonts w:asciiTheme="minorHAnsi" w:hAnsiTheme="minorHAnsi" w:cstheme="minorHAnsi"/>
          <w:sz w:val="22"/>
        </w:rPr>
        <w:t>at rule 4 and rule 5 of</w:t>
      </w:r>
      <w:r w:rsidR="0009615D" w:rsidRPr="00FE2E4E">
        <w:rPr>
          <w:rFonts w:asciiTheme="minorHAnsi" w:hAnsiTheme="minorHAnsi" w:cstheme="minorHAnsi"/>
          <w:sz w:val="22"/>
        </w:rPr>
        <w:t xml:space="preserve"> Non-Banking Finance Companies (Establishment and Regulation) Rules, 2003 while the Fit &amp; Proper Criteria is provided in Schedule IX of the Non-Banking Finance and Notified Entities Regulations, 2008.</w:t>
      </w:r>
      <w:r w:rsidR="0009615D" w:rsidRPr="00016BD7">
        <w:rPr>
          <w:rFonts w:asciiTheme="minorHAnsi" w:hAnsiTheme="minorHAnsi" w:cstheme="minorHAnsi"/>
          <w:sz w:val="22"/>
        </w:rPr>
        <w:t xml:space="preserve"> </w:t>
      </w:r>
    </w:p>
    <w:p w14:paraId="1BBA7C7E" w14:textId="42D5ECF8" w:rsidR="0009615D" w:rsidRDefault="0009615D">
      <w:bookmarkStart w:id="0" w:name="_GoBack"/>
      <w:bookmarkEnd w:id="0"/>
    </w:p>
    <w:p w14:paraId="23F0B06D" w14:textId="63AD0044" w:rsidR="00EC676A" w:rsidRDefault="00EC676A"/>
    <w:p w14:paraId="7EF01328" w14:textId="5B1BD94B" w:rsidR="00EC676A" w:rsidRDefault="00EC676A"/>
    <w:p w14:paraId="566C0483" w14:textId="08F5EF82" w:rsidR="00EC676A" w:rsidRDefault="00EC676A"/>
    <w:p w14:paraId="5DF20080" w14:textId="280A2A22" w:rsidR="00EC676A" w:rsidRDefault="00EC676A"/>
    <w:p w14:paraId="28FF28F4" w14:textId="5FD2E0DF" w:rsidR="00EC676A" w:rsidRDefault="00EC676A"/>
    <w:p w14:paraId="3809A8BF" w14:textId="659B8A24" w:rsidR="00EC676A" w:rsidRDefault="00EC676A"/>
    <w:p w14:paraId="1B0F705B" w14:textId="3A560E67" w:rsidR="00EC676A" w:rsidRDefault="00EC676A"/>
    <w:p w14:paraId="127359DE" w14:textId="6E4B41F5" w:rsidR="00EC676A" w:rsidRDefault="00EC676A"/>
    <w:p w14:paraId="582E4991" w14:textId="02C9195E" w:rsidR="00EC676A" w:rsidRDefault="00EC676A"/>
    <w:p w14:paraId="77DEEEE1" w14:textId="3E7F35BC" w:rsidR="00EC676A" w:rsidRDefault="00EC676A"/>
    <w:p w14:paraId="313D51C7" w14:textId="18770906" w:rsidR="00EC676A" w:rsidRDefault="00EC676A"/>
    <w:p w14:paraId="29A1FAD5" w14:textId="46207414" w:rsidR="00EC676A" w:rsidRDefault="00EC676A"/>
    <w:p w14:paraId="6611EDAB" w14:textId="58D7A11F" w:rsidR="00EC676A" w:rsidRDefault="00EC676A"/>
    <w:p w14:paraId="291B9421" w14:textId="77777777" w:rsidR="00EC676A" w:rsidRPr="00EC676A" w:rsidRDefault="00EC676A">
      <w:pPr>
        <w:rPr>
          <w:sz w:val="22"/>
          <w:szCs w:val="22"/>
        </w:rPr>
      </w:pPr>
    </w:p>
    <w:sectPr w:rsidR="00EC676A" w:rsidRPr="00EC676A" w:rsidSect="0009615D">
      <w:pgSz w:w="12240" w:h="15840"/>
      <w:pgMar w:top="993" w:right="75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CCF"/>
    <w:multiLevelType w:val="hybridMultilevel"/>
    <w:tmpl w:val="FE64FAE4"/>
    <w:lvl w:ilvl="0" w:tplc="20000011">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FB5419A"/>
    <w:multiLevelType w:val="hybridMultilevel"/>
    <w:tmpl w:val="F2205E1A"/>
    <w:lvl w:ilvl="0" w:tplc="08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D43525E"/>
    <w:multiLevelType w:val="hybridMultilevel"/>
    <w:tmpl w:val="4BD47F18"/>
    <w:lvl w:ilvl="0" w:tplc="428E933A">
      <w:start w:val="1"/>
      <w:numFmt w:val="bullet"/>
      <w:lvlText w:val="◦"/>
      <w:lvlJc w:val="left"/>
      <w:pPr>
        <w:tabs>
          <w:tab w:val="num" w:pos="360"/>
        </w:tabs>
        <w:ind w:left="360" w:hanging="360"/>
      </w:pPr>
      <w:rPr>
        <w:rFonts w:ascii="Verdana" w:hAnsi="Verdana" w:hint="default"/>
      </w:rPr>
    </w:lvl>
    <w:lvl w:ilvl="1" w:tplc="9F5031EE">
      <w:start w:val="1"/>
      <w:numFmt w:val="bullet"/>
      <w:lvlText w:val="◦"/>
      <w:lvlJc w:val="left"/>
      <w:pPr>
        <w:tabs>
          <w:tab w:val="num" w:pos="1080"/>
        </w:tabs>
        <w:ind w:left="1080" w:hanging="360"/>
      </w:pPr>
      <w:rPr>
        <w:rFonts w:ascii="Verdana" w:hAnsi="Verdana" w:hint="default"/>
      </w:rPr>
    </w:lvl>
    <w:lvl w:ilvl="2" w:tplc="C6F4057C" w:tentative="1">
      <w:start w:val="1"/>
      <w:numFmt w:val="bullet"/>
      <w:lvlText w:val="◦"/>
      <w:lvlJc w:val="left"/>
      <w:pPr>
        <w:tabs>
          <w:tab w:val="num" w:pos="1800"/>
        </w:tabs>
        <w:ind w:left="1800" w:hanging="360"/>
      </w:pPr>
      <w:rPr>
        <w:rFonts w:ascii="Verdana" w:hAnsi="Verdana" w:hint="default"/>
      </w:rPr>
    </w:lvl>
    <w:lvl w:ilvl="3" w:tplc="B40E2936" w:tentative="1">
      <w:start w:val="1"/>
      <w:numFmt w:val="bullet"/>
      <w:lvlText w:val="◦"/>
      <w:lvlJc w:val="left"/>
      <w:pPr>
        <w:tabs>
          <w:tab w:val="num" w:pos="2520"/>
        </w:tabs>
        <w:ind w:left="2520" w:hanging="360"/>
      </w:pPr>
      <w:rPr>
        <w:rFonts w:ascii="Verdana" w:hAnsi="Verdana" w:hint="default"/>
      </w:rPr>
    </w:lvl>
    <w:lvl w:ilvl="4" w:tplc="3F2872AA" w:tentative="1">
      <w:start w:val="1"/>
      <w:numFmt w:val="bullet"/>
      <w:lvlText w:val="◦"/>
      <w:lvlJc w:val="left"/>
      <w:pPr>
        <w:tabs>
          <w:tab w:val="num" w:pos="3240"/>
        </w:tabs>
        <w:ind w:left="3240" w:hanging="360"/>
      </w:pPr>
      <w:rPr>
        <w:rFonts w:ascii="Verdana" w:hAnsi="Verdana" w:hint="default"/>
      </w:rPr>
    </w:lvl>
    <w:lvl w:ilvl="5" w:tplc="5F524FD2" w:tentative="1">
      <w:start w:val="1"/>
      <w:numFmt w:val="bullet"/>
      <w:lvlText w:val="◦"/>
      <w:lvlJc w:val="left"/>
      <w:pPr>
        <w:tabs>
          <w:tab w:val="num" w:pos="3960"/>
        </w:tabs>
        <w:ind w:left="3960" w:hanging="360"/>
      </w:pPr>
      <w:rPr>
        <w:rFonts w:ascii="Verdana" w:hAnsi="Verdana" w:hint="default"/>
      </w:rPr>
    </w:lvl>
    <w:lvl w:ilvl="6" w:tplc="A8F42536" w:tentative="1">
      <w:start w:val="1"/>
      <w:numFmt w:val="bullet"/>
      <w:lvlText w:val="◦"/>
      <w:lvlJc w:val="left"/>
      <w:pPr>
        <w:tabs>
          <w:tab w:val="num" w:pos="4680"/>
        </w:tabs>
        <w:ind w:left="4680" w:hanging="360"/>
      </w:pPr>
      <w:rPr>
        <w:rFonts w:ascii="Verdana" w:hAnsi="Verdana" w:hint="default"/>
      </w:rPr>
    </w:lvl>
    <w:lvl w:ilvl="7" w:tplc="CC2EBC96" w:tentative="1">
      <w:start w:val="1"/>
      <w:numFmt w:val="bullet"/>
      <w:lvlText w:val="◦"/>
      <w:lvlJc w:val="left"/>
      <w:pPr>
        <w:tabs>
          <w:tab w:val="num" w:pos="5400"/>
        </w:tabs>
        <w:ind w:left="5400" w:hanging="360"/>
      </w:pPr>
      <w:rPr>
        <w:rFonts w:ascii="Verdana" w:hAnsi="Verdana" w:hint="default"/>
      </w:rPr>
    </w:lvl>
    <w:lvl w:ilvl="8" w:tplc="501A7986" w:tentative="1">
      <w:start w:val="1"/>
      <w:numFmt w:val="bullet"/>
      <w:lvlText w:val="◦"/>
      <w:lvlJc w:val="left"/>
      <w:pPr>
        <w:tabs>
          <w:tab w:val="num" w:pos="6120"/>
        </w:tabs>
        <w:ind w:left="6120" w:hanging="360"/>
      </w:pPr>
      <w:rPr>
        <w:rFonts w:ascii="Verdana" w:hAnsi="Verdana" w:hint="default"/>
      </w:rPr>
    </w:lvl>
  </w:abstractNum>
  <w:abstractNum w:abstractNumId="3" w15:restartNumberingAfterBreak="0">
    <w:nsid w:val="2E5D7220"/>
    <w:multiLevelType w:val="hybridMultilevel"/>
    <w:tmpl w:val="9DD2F768"/>
    <w:lvl w:ilvl="0" w:tplc="0809001B">
      <w:start w:val="1"/>
      <w:numFmt w:val="lowerRoman"/>
      <w:lvlText w:val="%1."/>
      <w:lvlJc w:val="right"/>
      <w:pPr>
        <w:ind w:left="1440" w:hanging="360"/>
      </w:pPr>
    </w:lvl>
    <w:lvl w:ilvl="1" w:tplc="0809000F">
      <w:start w:val="1"/>
      <w:numFmt w:val="decimal"/>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B2D61C8"/>
    <w:multiLevelType w:val="hybridMultilevel"/>
    <w:tmpl w:val="E132D3E0"/>
    <w:lvl w:ilvl="0" w:tplc="0809000F">
      <w:start w:val="1"/>
      <w:numFmt w:val="decimal"/>
      <w:lvlText w:val="%1."/>
      <w:lvlJc w:val="left"/>
      <w:pPr>
        <w:ind w:left="360" w:hanging="360"/>
      </w:p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5" w15:restartNumberingAfterBreak="0">
    <w:nsid w:val="47CD4C61"/>
    <w:multiLevelType w:val="hybridMultilevel"/>
    <w:tmpl w:val="E0CCADA2"/>
    <w:lvl w:ilvl="0" w:tplc="D2D86540">
      <w:start w:val="1"/>
      <w:numFmt w:val="bullet"/>
      <w:lvlText w:val=""/>
      <w:lvlJc w:val="left"/>
      <w:pPr>
        <w:tabs>
          <w:tab w:val="num" w:pos="360"/>
        </w:tabs>
        <w:ind w:left="360" w:hanging="360"/>
      </w:pPr>
      <w:rPr>
        <w:rFonts w:ascii="Wingdings 2" w:hAnsi="Wingdings 2" w:hint="default"/>
      </w:rPr>
    </w:lvl>
    <w:lvl w:ilvl="1" w:tplc="BD68DF36">
      <w:start w:val="1"/>
      <w:numFmt w:val="bullet"/>
      <w:lvlText w:val=""/>
      <w:lvlJc w:val="left"/>
      <w:pPr>
        <w:tabs>
          <w:tab w:val="num" w:pos="1080"/>
        </w:tabs>
        <w:ind w:left="1080" w:hanging="360"/>
      </w:pPr>
      <w:rPr>
        <w:rFonts w:ascii="Wingdings 2" w:hAnsi="Wingdings 2" w:hint="default"/>
      </w:rPr>
    </w:lvl>
    <w:lvl w:ilvl="2" w:tplc="C0ECD3C0">
      <w:start w:val="1"/>
      <w:numFmt w:val="bullet"/>
      <w:lvlText w:val=""/>
      <w:lvlJc w:val="left"/>
      <w:pPr>
        <w:tabs>
          <w:tab w:val="num" w:pos="1800"/>
        </w:tabs>
        <w:ind w:left="1800" w:hanging="360"/>
      </w:pPr>
      <w:rPr>
        <w:rFonts w:ascii="Wingdings 2" w:hAnsi="Wingdings 2" w:hint="default"/>
      </w:rPr>
    </w:lvl>
    <w:lvl w:ilvl="3" w:tplc="153AA09C" w:tentative="1">
      <w:start w:val="1"/>
      <w:numFmt w:val="bullet"/>
      <w:lvlText w:val=""/>
      <w:lvlJc w:val="left"/>
      <w:pPr>
        <w:tabs>
          <w:tab w:val="num" w:pos="2520"/>
        </w:tabs>
        <w:ind w:left="2520" w:hanging="360"/>
      </w:pPr>
      <w:rPr>
        <w:rFonts w:ascii="Wingdings 2" w:hAnsi="Wingdings 2" w:hint="default"/>
      </w:rPr>
    </w:lvl>
    <w:lvl w:ilvl="4" w:tplc="0C7082DE" w:tentative="1">
      <w:start w:val="1"/>
      <w:numFmt w:val="bullet"/>
      <w:lvlText w:val=""/>
      <w:lvlJc w:val="left"/>
      <w:pPr>
        <w:tabs>
          <w:tab w:val="num" w:pos="3240"/>
        </w:tabs>
        <w:ind w:left="3240" w:hanging="360"/>
      </w:pPr>
      <w:rPr>
        <w:rFonts w:ascii="Wingdings 2" w:hAnsi="Wingdings 2" w:hint="default"/>
      </w:rPr>
    </w:lvl>
    <w:lvl w:ilvl="5" w:tplc="DEC02CDC" w:tentative="1">
      <w:start w:val="1"/>
      <w:numFmt w:val="bullet"/>
      <w:lvlText w:val=""/>
      <w:lvlJc w:val="left"/>
      <w:pPr>
        <w:tabs>
          <w:tab w:val="num" w:pos="3960"/>
        </w:tabs>
        <w:ind w:left="3960" w:hanging="360"/>
      </w:pPr>
      <w:rPr>
        <w:rFonts w:ascii="Wingdings 2" w:hAnsi="Wingdings 2" w:hint="default"/>
      </w:rPr>
    </w:lvl>
    <w:lvl w:ilvl="6" w:tplc="5CA6D5FE" w:tentative="1">
      <w:start w:val="1"/>
      <w:numFmt w:val="bullet"/>
      <w:lvlText w:val=""/>
      <w:lvlJc w:val="left"/>
      <w:pPr>
        <w:tabs>
          <w:tab w:val="num" w:pos="4680"/>
        </w:tabs>
        <w:ind w:left="4680" w:hanging="360"/>
      </w:pPr>
      <w:rPr>
        <w:rFonts w:ascii="Wingdings 2" w:hAnsi="Wingdings 2" w:hint="default"/>
      </w:rPr>
    </w:lvl>
    <w:lvl w:ilvl="7" w:tplc="F69A30BA" w:tentative="1">
      <w:start w:val="1"/>
      <w:numFmt w:val="bullet"/>
      <w:lvlText w:val=""/>
      <w:lvlJc w:val="left"/>
      <w:pPr>
        <w:tabs>
          <w:tab w:val="num" w:pos="5400"/>
        </w:tabs>
        <w:ind w:left="5400" w:hanging="360"/>
      </w:pPr>
      <w:rPr>
        <w:rFonts w:ascii="Wingdings 2" w:hAnsi="Wingdings 2" w:hint="default"/>
      </w:rPr>
    </w:lvl>
    <w:lvl w:ilvl="8" w:tplc="BCE64CB6"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49D95FEF"/>
    <w:multiLevelType w:val="hybridMultilevel"/>
    <w:tmpl w:val="3D82FDCE"/>
    <w:lvl w:ilvl="0" w:tplc="7DB4D4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2155565"/>
    <w:multiLevelType w:val="hybridMultilevel"/>
    <w:tmpl w:val="FBA468D0"/>
    <w:lvl w:ilvl="0" w:tplc="CAC8F562">
      <w:start w:val="1"/>
      <w:numFmt w:val="bullet"/>
      <w:lvlText w:val=""/>
      <w:lvlJc w:val="left"/>
      <w:pPr>
        <w:tabs>
          <w:tab w:val="num" w:pos="720"/>
        </w:tabs>
        <w:ind w:left="720" w:hanging="360"/>
      </w:pPr>
      <w:rPr>
        <w:rFonts w:ascii="Wingdings 3" w:hAnsi="Wingdings 3" w:hint="default"/>
      </w:rPr>
    </w:lvl>
    <w:lvl w:ilvl="1" w:tplc="6922A22C">
      <w:numFmt w:val="bullet"/>
      <w:lvlText w:val="◦"/>
      <w:lvlJc w:val="left"/>
      <w:pPr>
        <w:tabs>
          <w:tab w:val="num" w:pos="1440"/>
        </w:tabs>
        <w:ind w:left="1440" w:hanging="360"/>
      </w:pPr>
      <w:rPr>
        <w:rFonts w:ascii="Verdana" w:hAnsi="Verdana" w:hint="default"/>
      </w:rPr>
    </w:lvl>
    <w:lvl w:ilvl="2" w:tplc="16F284D4" w:tentative="1">
      <w:start w:val="1"/>
      <w:numFmt w:val="bullet"/>
      <w:lvlText w:val=""/>
      <w:lvlJc w:val="left"/>
      <w:pPr>
        <w:tabs>
          <w:tab w:val="num" w:pos="2160"/>
        </w:tabs>
        <w:ind w:left="2160" w:hanging="360"/>
      </w:pPr>
      <w:rPr>
        <w:rFonts w:ascii="Wingdings 3" w:hAnsi="Wingdings 3" w:hint="default"/>
      </w:rPr>
    </w:lvl>
    <w:lvl w:ilvl="3" w:tplc="1B50144C" w:tentative="1">
      <w:start w:val="1"/>
      <w:numFmt w:val="bullet"/>
      <w:lvlText w:val=""/>
      <w:lvlJc w:val="left"/>
      <w:pPr>
        <w:tabs>
          <w:tab w:val="num" w:pos="2880"/>
        </w:tabs>
        <w:ind w:left="2880" w:hanging="360"/>
      </w:pPr>
      <w:rPr>
        <w:rFonts w:ascii="Wingdings 3" w:hAnsi="Wingdings 3" w:hint="default"/>
      </w:rPr>
    </w:lvl>
    <w:lvl w:ilvl="4" w:tplc="E74020EC" w:tentative="1">
      <w:start w:val="1"/>
      <w:numFmt w:val="bullet"/>
      <w:lvlText w:val=""/>
      <w:lvlJc w:val="left"/>
      <w:pPr>
        <w:tabs>
          <w:tab w:val="num" w:pos="3600"/>
        </w:tabs>
        <w:ind w:left="3600" w:hanging="360"/>
      </w:pPr>
      <w:rPr>
        <w:rFonts w:ascii="Wingdings 3" w:hAnsi="Wingdings 3" w:hint="default"/>
      </w:rPr>
    </w:lvl>
    <w:lvl w:ilvl="5" w:tplc="55FC32B0" w:tentative="1">
      <w:start w:val="1"/>
      <w:numFmt w:val="bullet"/>
      <w:lvlText w:val=""/>
      <w:lvlJc w:val="left"/>
      <w:pPr>
        <w:tabs>
          <w:tab w:val="num" w:pos="4320"/>
        </w:tabs>
        <w:ind w:left="4320" w:hanging="360"/>
      </w:pPr>
      <w:rPr>
        <w:rFonts w:ascii="Wingdings 3" w:hAnsi="Wingdings 3" w:hint="default"/>
      </w:rPr>
    </w:lvl>
    <w:lvl w:ilvl="6" w:tplc="EAC0607E" w:tentative="1">
      <w:start w:val="1"/>
      <w:numFmt w:val="bullet"/>
      <w:lvlText w:val=""/>
      <w:lvlJc w:val="left"/>
      <w:pPr>
        <w:tabs>
          <w:tab w:val="num" w:pos="5040"/>
        </w:tabs>
        <w:ind w:left="5040" w:hanging="360"/>
      </w:pPr>
      <w:rPr>
        <w:rFonts w:ascii="Wingdings 3" w:hAnsi="Wingdings 3" w:hint="default"/>
      </w:rPr>
    </w:lvl>
    <w:lvl w:ilvl="7" w:tplc="14D698E2" w:tentative="1">
      <w:start w:val="1"/>
      <w:numFmt w:val="bullet"/>
      <w:lvlText w:val=""/>
      <w:lvlJc w:val="left"/>
      <w:pPr>
        <w:tabs>
          <w:tab w:val="num" w:pos="5760"/>
        </w:tabs>
        <w:ind w:left="5760" w:hanging="360"/>
      </w:pPr>
      <w:rPr>
        <w:rFonts w:ascii="Wingdings 3" w:hAnsi="Wingdings 3" w:hint="default"/>
      </w:rPr>
    </w:lvl>
    <w:lvl w:ilvl="8" w:tplc="C37ABE6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737B0876"/>
    <w:multiLevelType w:val="hybridMultilevel"/>
    <w:tmpl w:val="F2205E1A"/>
    <w:lvl w:ilvl="0" w:tplc="08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A015AB0"/>
    <w:multiLevelType w:val="hybridMultilevel"/>
    <w:tmpl w:val="C644BB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B13287"/>
    <w:multiLevelType w:val="hybridMultilevel"/>
    <w:tmpl w:val="2CFC21CC"/>
    <w:lvl w:ilvl="0" w:tplc="12E4F5BA">
      <w:start w:val="1"/>
      <w:numFmt w:val="bullet"/>
      <w:lvlText w:val=""/>
      <w:lvlJc w:val="left"/>
      <w:pPr>
        <w:tabs>
          <w:tab w:val="num" w:pos="720"/>
        </w:tabs>
        <w:ind w:left="720" w:hanging="360"/>
      </w:pPr>
      <w:rPr>
        <w:rFonts w:ascii="Wingdings 3" w:hAnsi="Wingdings 3" w:hint="default"/>
      </w:rPr>
    </w:lvl>
    <w:lvl w:ilvl="1" w:tplc="A0A427B6">
      <w:numFmt w:val="bullet"/>
      <w:lvlText w:val="◦"/>
      <w:lvlJc w:val="left"/>
      <w:pPr>
        <w:tabs>
          <w:tab w:val="num" w:pos="1440"/>
        </w:tabs>
        <w:ind w:left="1440" w:hanging="360"/>
      </w:pPr>
      <w:rPr>
        <w:rFonts w:ascii="Verdana" w:hAnsi="Verdana" w:hint="default"/>
      </w:rPr>
    </w:lvl>
    <w:lvl w:ilvl="2" w:tplc="EB86F09E" w:tentative="1">
      <w:start w:val="1"/>
      <w:numFmt w:val="bullet"/>
      <w:lvlText w:val=""/>
      <w:lvlJc w:val="left"/>
      <w:pPr>
        <w:tabs>
          <w:tab w:val="num" w:pos="2160"/>
        </w:tabs>
        <w:ind w:left="2160" w:hanging="360"/>
      </w:pPr>
      <w:rPr>
        <w:rFonts w:ascii="Wingdings 3" w:hAnsi="Wingdings 3" w:hint="default"/>
      </w:rPr>
    </w:lvl>
    <w:lvl w:ilvl="3" w:tplc="87E4D6F6" w:tentative="1">
      <w:start w:val="1"/>
      <w:numFmt w:val="bullet"/>
      <w:lvlText w:val=""/>
      <w:lvlJc w:val="left"/>
      <w:pPr>
        <w:tabs>
          <w:tab w:val="num" w:pos="2880"/>
        </w:tabs>
        <w:ind w:left="2880" w:hanging="360"/>
      </w:pPr>
      <w:rPr>
        <w:rFonts w:ascii="Wingdings 3" w:hAnsi="Wingdings 3" w:hint="default"/>
      </w:rPr>
    </w:lvl>
    <w:lvl w:ilvl="4" w:tplc="5DA2AB84" w:tentative="1">
      <w:start w:val="1"/>
      <w:numFmt w:val="bullet"/>
      <w:lvlText w:val=""/>
      <w:lvlJc w:val="left"/>
      <w:pPr>
        <w:tabs>
          <w:tab w:val="num" w:pos="3600"/>
        </w:tabs>
        <w:ind w:left="3600" w:hanging="360"/>
      </w:pPr>
      <w:rPr>
        <w:rFonts w:ascii="Wingdings 3" w:hAnsi="Wingdings 3" w:hint="default"/>
      </w:rPr>
    </w:lvl>
    <w:lvl w:ilvl="5" w:tplc="5FEE96E8" w:tentative="1">
      <w:start w:val="1"/>
      <w:numFmt w:val="bullet"/>
      <w:lvlText w:val=""/>
      <w:lvlJc w:val="left"/>
      <w:pPr>
        <w:tabs>
          <w:tab w:val="num" w:pos="4320"/>
        </w:tabs>
        <w:ind w:left="4320" w:hanging="360"/>
      </w:pPr>
      <w:rPr>
        <w:rFonts w:ascii="Wingdings 3" w:hAnsi="Wingdings 3" w:hint="default"/>
      </w:rPr>
    </w:lvl>
    <w:lvl w:ilvl="6" w:tplc="C9EAD53C" w:tentative="1">
      <w:start w:val="1"/>
      <w:numFmt w:val="bullet"/>
      <w:lvlText w:val=""/>
      <w:lvlJc w:val="left"/>
      <w:pPr>
        <w:tabs>
          <w:tab w:val="num" w:pos="5040"/>
        </w:tabs>
        <w:ind w:left="5040" w:hanging="360"/>
      </w:pPr>
      <w:rPr>
        <w:rFonts w:ascii="Wingdings 3" w:hAnsi="Wingdings 3" w:hint="default"/>
      </w:rPr>
    </w:lvl>
    <w:lvl w:ilvl="7" w:tplc="DB2A78DE" w:tentative="1">
      <w:start w:val="1"/>
      <w:numFmt w:val="bullet"/>
      <w:lvlText w:val=""/>
      <w:lvlJc w:val="left"/>
      <w:pPr>
        <w:tabs>
          <w:tab w:val="num" w:pos="5760"/>
        </w:tabs>
        <w:ind w:left="5760" w:hanging="360"/>
      </w:pPr>
      <w:rPr>
        <w:rFonts w:ascii="Wingdings 3" w:hAnsi="Wingdings 3" w:hint="default"/>
      </w:rPr>
    </w:lvl>
    <w:lvl w:ilvl="8" w:tplc="75547472" w:tentative="1">
      <w:start w:val="1"/>
      <w:numFmt w:val="bullet"/>
      <w:lvlText w:val=""/>
      <w:lvlJc w:val="left"/>
      <w:pPr>
        <w:tabs>
          <w:tab w:val="num" w:pos="6480"/>
        </w:tabs>
        <w:ind w:left="6480" w:hanging="360"/>
      </w:pPr>
      <w:rPr>
        <w:rFonts w:ascii="Wingdings 3" w:hAnsi="Wingdings 3" w:hint="default"/>
      </w:rPr>
    </w:lvl>
  </w:abstractNum>
  <w:num w:numId="1">
    <w:abstractNumId w:val="10"/>
  </w:num>
  <w:num w:numId="2">
    <w:abstractNumId w:val="2"/>
  </w:num>
  <w:num w:numId="3">
    <w:abstractNumId w:val="5"/>
  </w:num>
  <w:num w:numId="4">
    <w:abstractNumId w:val="7"/>
  </w:num>
  <w:num w:numId="5">
    <w:abstractNumId w:val="0"/>
  </w:num>
  <w:num w:numId="6">
    <w:abstractNumId w:val="9"/>
  </w:num>
  <w:num w:numId="7">
    <w:abstractNumId w:val="3"/>
  </w:num>
  <w:num w:numId="8">
    <w:abstractNumId w:val="1"/>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ED"/>
    <w:rsid w:val="00016BD7"/>
    <w:rsid w:val="00034E3D"/>
    <w:rsid w:val="000547E6"/>
    <w:rsid w:val="0009615D"/>
    <w:rsid w:val="00107ACB"/>
    <w:rsid w:val="00122A5B"/>
    <w:rsid w:val="001F155E"/>
    <w:rsid w:val="001F6547"/>
    <w:rsid w:val="00201675"/>
    <w:rsid w:val="00220F7B"/>
    <w:rsid w:val="00222440"/>
    <w:rsid w:val="0031490F"/>
    <w:rsid w:val="00315037"/>
    <w:rsid w:val="00386228"/>
    <w:rsid w:val="003A2020"/>
    <w:rsid w:val="003B0D69"/>
    <w:rsid w:val="003B268B"/>
    <w:rsid w:val="003E7977"/>
    <w:rsid w:val="003F32ED"/>
    <w:rsid w:val="00480CFB"/>
    <w:rsid w:val="004F7B47"/>
    <w:rsid w:val="005C3051"/>
    <w:rsid w:val="005E7214"/>
    <w:rsid w:val="00626A51"/>
    <w:rsid w:val="007114DE"/>
    <w:rsid w:val="007A468C"/>
    <w:rsid w:val="0084737E"/>
    <w:rsid w:val="00851270"/>
    <w:rsid w:val="00860AD4"/>
    <w:rsid w:val="008757AC"/>
    <w:rsid w:val="0088111C"/>
    <w:rsid w:val="008866B7"/>
    <w:rsid w:val="00896F6D"/>
    <w:rsid w:val="00900B46"/>
    <w:rsid w:val="009A23A8"/>
    <w:rsid w:val="009E5995"/>
    <w:rsid w:val="009F3655"/>
    <w:rsid w:val="00A0313E"/>
    <w:rsid w:val="00A10BAB"/>
    <w:rsid w:val="00A404CF"/>
    <w:rsid w:val="00AD1F47"/>
    <w:rsid w:val="00B0060A"/>
    <w:rsid w:val="00B6740E"/>
    <w:rsid w:val="00B933CE"/>
    <w:rsid w:val="00C15528"/>
    <w:rsid w:val="00C32E39"/>
    <w:rsid w:val="00C36437"/>
    <w:rsid w:val="00C75246"/>
    <w:rsid w:val="00D144B0"/>
    <w:rsid w:val="00D375B8"/>
    <w:rsid w:val="00DA2A17"/>
    <w:rsid w:val="00DF51CE"/>
    <w:rsid w:val="00E03985"/>
    <w:rsid w:val="00E35807"/>
    <w:rsid w:val="00E46834"/>
    <w:rsid w:val="00E657F4"/>
    <w:rsid w:val="00E93722"/>
    <w:rsid w:val="00E94ECF"/>
    <w:rsid w:val="00EC676A"/>
    <w:rsid w:val="00EF7899"/>
    <w:rsid w:val="00F408EF"/>
    <w:rsid w:val="00F542E2"/>
    <w:rsid w:val="00F74FEF"/>
    <w:rsid w:val="00FC2F5D"/>
    <w:rsid w:val="00FE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69CA"/>
  <w15:chartTrackingRefBased/>
  <w15:docId w15:val="{8CB81010-BD11-453C-9C38-3D6C92EE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2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3CE"/>
    <w:pPr>
      <w:ind w:left="720"/>
      <w:contextualSpacing/>
    </w:pPr>
  </w:style>
  <w:style w:type="character" w:styleId="CommentReference">
    <w:name w:val="annotation reference"/>
    <w:basedOn w:val="DefaultParagraphFont"/>
    <w:uiPriority w:val="99"/>
    <w:semiHidden/>
    <w:unhideWhenUsed/>
    <w:rsid w:val="00220F7B"/>
    <w:rPr>
      <w:sz w:val="16"/>
      <w:szCs w:val="16"/>
    </w:rPr>
  </w:style>
  <w:style w:type="paragraph" w:styleId="CommentText">
    <w:name w:val="annotation text"/>
    <w:basedOn w:val="Normal"/>
    <w:link w:val="CommentTextChar"/>
    <w:uiPriority w:val="99"/>
    <w:semiHidden/>
    <w:unhideWhenUsed/>
    <w:rsid w:val="00220F7B"/>
    <w:rPr>
      <w:sz w:val="20"/>
      <w:szCs w:val="20"/>
    </w:rPr>
  </w:style>
  <w:style w:type="character" w:customStyle="1" w:styleId="CommentTextChar">
    <w:name w:val="Comment Text Char"/>
    <w:basedOn w:val="DefaultParagraphFont"/>
    <w:link w:val="CommentText"/>
    <w:uiPriority w:val="99"/>
    <w:semiHidden/>
    <w:rsid w:val="00220F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F7B"/>
    <w:rPr>
      <w:b/>
      <w:bCs/>
    </w:rPr>
  </w:style>
  <w:style w:type="character" w:customStyle="1" w:styleId="CommentSubjectChar">
    <w:name w:val="Comment Subject Char"/>
    <w:basedOn w:val="CommentTextChar"/>
    <w:link w:val="CommentSubject"/>
    <w:uiPriority w:val="99"/>
    <w:semiHidden/>
    <w:rsid w:val="00220F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0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F7B"/>
    <w:rPr>
      <w:rFonts w:ascii="Segoe UI" w:eastAsia="Times New Roman" w:hAnsi="Segoe UI" w:cs="Segoe UI"/>
      <w:sz w:val="18"/>
      <w:szCs w:val="18"/>
    </w:rPr>
  </w:style>
  <w:style w:type="paragraph" w:styleId="NoSpacing">
    <w:name w:val="No Spacing"/>
    <w:uiPriority w:val="1"/>
    <w:qFormat/>
    <w:rsid w:val="00EC676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67640">
      <w:bodyDiv w:val="1"/>
      <w:marLeft w:val="0"/>
      <w:marRight w:val="0"/>
      <w:marTop w:val="0"/>
      <w:marBottom w:val="0"/>
      <w:divBdr>
        <w:top w:val="none" w:sz="0" w:space="0" w:color="auto"/>
        <w:left w:val="none" w:sz="0" w:space="0" w:color="auto"/>
        <w:bottom w:val="none" w:sz="0" w:space="0" w:color="auto"/>
        <w:right w:val="none" w:sz="0" w:space="0" w:color="auto"/>
      </w:divBdr>
      <w:divsChild>
        <w:div w:id="551772492">
          <w:marLeft w:val="979"/>
          <w:marRight w:val="0"/>
          <w:marTop w:val="65"/>
          <w:marBottom w:val="0"/>
          <w:divBdr>
            <w:top w:val="none" w:sz="0" w:space="0" w:color="auto"/>
            <w:left w:val="none" w:sz="0" w:space="0" w:color="auto"/>
            <w:bottom w:val="none" w:sz="0" w:space="0" w:color="auto"/>
            <w:right w:val="none" w:sz="0" w:space="0" w:color="auto"/>
          </w:divBdr>
        </w:div>
        <w:div w:id="376005373">
          <w:marLeft w:val="979"/>
          <w:marRight w:val="0"/>
          <w:marTop w:val="65"/>
          <w:marBottom w:val="0"/>
          <w:divBdr>
            <w:top w:val="none" w:sz="0" w:space="0" w:color="auto"/>
            <w:left w:val="none" w:sz="0" w:space="0" w:color="auto"/>
            <w:bottom w:val="none" w:sz="0" w:space="0" w:color="auto"/>
            <w:right w:val="none" w:sz="0" w:space="0" w:color="auto"/>
          </w:divBdr>
        </w:div>
        <w:div w:id="2073507384">
          <w:marLeft w:val="979"/>
          <w:marRight w:val="0"/>
          <w:marTop w:val="65"/>
          <w:marBottom w:val="0"/>
          <w:divBdr>
            <w:top w:val="none" w:sz="0" w:space="0" w:color="auto"/>
            <w:left w:val="none" w:sz="0" w:space="0" w:color="auto"/>
            <w:bottom w:val="none" w:sz="0" w:space="0" w:color="auto"/>
            <w:right w:val="none" w:sz="0" w:space="0" w:color="auto"/>
          </w:divBdr>
        </w:div>
        <w:div w:id="933711387">
          <w:marLeft w:val="979"/>
          <w:marRight w:val="0"/>
          <w:marTop w:val="65"/>
          <w:marBottom w:val="0"/>
          <w:divBdr>
            <w:top w:val="none" w:sz="0" w:space="0" w:color="auto"/>
            <w:left w:val="none" w:sz="0" w:space="0" w:color="auto"/>
            <w:bottom w:val="none" w:sz="0" w:space="0" w:color="auto"/>
            <w:right w:val="none" w:sz="0" w:space="0" w:color="auto"/>
          </w:divBdr>
        </w:div>
      </w:divsChild>
    </w:div>
    <w:div w:id="818036559">
      <w:bodyDiv w:val="1"/>
      <w:marLeft w:val="0"/>
      <w:marRight w:val="0"/>
      <w:marTop w:val="0"/>
      <w:marBottom w:val="0"/>
      <w:divBdr>
        <w:top w:val="none" w:sz="0" w:space="0" w:color="auto"/>
        <w:left w:val="none" w:sz="0" w:space="0" w:color="auto"/>
        <w:bottom w:val="none" w:sz="0" w:space="0" w:color="auto"/>
        <w:right w:val="none" w:sz="0" w:space="0" w:color="auto"/>
      </w:divBdr>
    </w:div>
    <w:div w:id="855188981">
      <w:bodyDiv w:val="1"/>
      <w:marLeft w:val="0"/>
      <w:marRight w:val="0"/>
      <w:marTop w:val="0"/>
      <w:marBottom w:val="0"/>
      <w:divBdr>
        <w:top w:val="none" w:sz="0" w:space="0" w:color="auto"/>
        <w:left w:val="none" w:sz="0" w:space="0" w:color="auto"/>
        <w:bottom w:val="none" w:sz="0" w:space="0" w:color="auto"/>
        <w:right w:val="none" w:sz="0" w:space="0" w:color="auto"/>
      </w:divBdr>
      <w:divsChild>
        <w:div w:id="2039431894">
          <w:marLeft w:val="576"/>
          <w:marRight w:val="0"/>
          <w:marTop w:val="80"/>
          <w:marBottom w:val="0"/>
          <w:divBdr>
            <w:top w:val="none" w:sz="0" w:space="0" w:color="auto"/>
            <w:left w:val="none" w:sz="0" w:space="0" w:color="auto"/>
            <w:bottom w:val="none" w:sz="0" w:space="0" w:color="auto"/>
            <w:right w:val="none" w:sz="0" w:space="0" w:color="auto"/>
          </w:divBdr>
        </w:div>
        <w:div w:id="2013875487">
          <w:marLeft w:val="979"/>
          <w:marRight w:val="0"/>
          <w:marTop w:val="65"/>
          <w:marBottom w:val="0"/>
          <w:divBdr>
            <w:top w:val="none" w:sz="0" w:space="0" w:color="auto"/>
            <w:left w:val="none" w:sz="0" w:space="0" w:color="auto"/>
            <w:bottom w:val="none" w:sz="0" w:space="0" w:color="auto"/>
            <w:right w:val="none" w:sz="0" w:space="0" w:color="auto"/>
          </w:divBdr>
        </w:div>
        <w:div w:id="1527211302">
          <w:marLeft w:val="979"/>
          <w:marRight w:val="0"/>
          <w:marTop w:val="65"/>
          <w:marBottom w:val="0"/>
          <w:divBdr>
            <w:top w:val="none" w:sz="0" w:space="0" w:color="auto"/>
            <w:left w:val="none" w:sz="0" w:space="0" w:color="auto"/>
            <w:bottom w:val="none" w:sz="0" w:space="0" w:color="auto"/>
            <w:right w:val="none" w:sz="0" w:space="0" w:color="auto"/>
          </w:divBdr>
        </w:div>
        <w:div w:id="1324434938">
          <w:marLeft w:val="979"/>
          <w:marRight w:val="0"/>
          <w:marTop w:val="65"/>
          <w:marBottom w:val="0"/>
          <w:divBdr>
            <w:top w:val="none" w:sz="0" w:space="0" w:color="auto"/>
            <w:left w:val="none" w:sz="0" w:space="0" w:color="auto"/>
            <w:bottom w:val="none" w:sz="0" w:space="0" w:color="auto"/>
            <w:right w:val="none" w:sz="0" w:space="0" w:color="auto"/>
          </w:divBdr>
        </w:div>
      </w:divsChild>
    </w:div>
    <w:div w:id="1280915466">
      <w:bodyDiv w:val="1"/>
      <w:marLeft w:val="0"/>
      <w:marRight w:val="0"/>
      <w:marTop w:val="0"/>
      <w:marBottom w:val="0"/>
      <w:divBdr>
        <w:top w:val="none" w:sz="0" w:space="0" w:color="auto"/>
        <w:left w:val="none" w:sz="0" w:space="0" w:color="auto"/>
        <w:bottom w:val="none" w:sz="0" w:space="0" w:color="auto"/>
        <w:right w:val="none" w:sz="0" w:space="0" w:color="auto"/>
      </w:divBdr>
      <w:divsChild>
        <w:div w:id="874779395">
          <w:marLeft w:val="1397"/>
          <w:marRight w:val="0"/>
          <w:marTop w:val="70"/>
          <w:marBottom w:val="0"/>
          <w:divBdr>
            <w:top w:val="none" w:sz="0" w:space="0" w:color="auto"/>
            <w:left w:val="none" w:sz="0" w:space="0" w:color="auto"/>
            <w:bottom w:val="none" w:sz="0" w:space="0" w:color="auto"/>
            <w:right w:val="none" w:sz="0" w:space="0" w:color="auto"/>
          </w:divBdr>
        </w:div>
        <w:div w:id="521554690">
          <w:marLeft w:val="1397"/>
          <w:marRight w:val="0"/>
          <w:marTop w:val="70"/>
          <w:marBottom w:val="0"/>
          <w:divBdr>
            <w:top w:val="none" w:sz="0" w:space="0" w:color="auto"/>
            <w:left w:val="none" w:sz="0" w:space="0" w:color="auto"/>
            <w:bottom w:val="none" w:sz="0" w:space="0" w:color="auto"/>
            <w:right w:val="none" w:sz="0" w:space="0" w:color="auto"/>
          </w:divBdr>
        </w:div>
        <w:div w:id="713774175">
          <w:marLeft w:val="1397"/>
          <w:marRight w:val="0"/>
          <w:marTop w:val="70"/>
          <w:marBottom w:val="0"/>
          <w:divBdr>
            <w:top w:val="none" w:sz="0" w:space="0" w:color="auto"/>
            <w:left w:val="none" w:sz="0" w:space="0" w:color="auto"/>
            <w:bottom w:val="none" w:sz="0" w:space="0" w:color="auto"/>
            <w:right w:val="none" w:sz="0" w:space="0" w:color="auto"/>
          </w:divBdr>
        </w:div>
        <w:div w:id="746195586">
          <w:marLeft w:val="1397"/>
          <w:marRight w:val="0"/>
          <w:marTop w:val="70"/>
          <w:marBottom w:val="0"/>
          <w:divBdr>
            <w:top w:val="none" w:sz="0" w:space="0" w:color="auto"/>
            <w:left w:val="none" w:sz="0" w:space="0" w:color="auto"/>
            <w:bottom w:val="none" w:sz="0" w:space="0" w:color="auto"/>
            <w:right w:val="none" w:sz="0" w:space="0" w:color="auto"/>
          </w:divBdr>
        </w:div>
        <w:div w:id="153842161">
          <w:marLeft w:val="1397"/>
          <w:marRight w:val="0"/>
          <w:marTop w:val="70"/>
          <w:marBottom w:val="0"/>
          <w:divBdr>
            <w:top w:val="none" w:sz="0" w:space="0" w:color="auto"/>
            <w:left w:val="none" w:sz="0" w:space="0" w:color="auto"/>
            <w:bottom w:val="none" w:sz="0" w:space="0" w:color="auto"/>
            <w:right w:val="none" w:sz="0" w:space="0" w:color="auto"/>
          </w:divBdr>
        </w:div>
      </w:divsChild>
    </w:div>
    <w:div w:id="1406300774">
      <w:bodyDiv w:val="1"/>
      <w:marLeft w:val="0"/>
      <w:marRight w:val="0"/>
      <w:marTop w:val="0"/>
      <w:marBottom w:val="0"/>
      <w:divBdr>
        <w:top w:val="none" w:sz="0" w:space="0" w:color="auto"/>
        <w:left w:val="none" w:sz="0" w:space="0" w:color="auto"/>
        <w:bottom w:val="none" w:sz="0" w:space="0" w:color="auto"/>
        <w:right w:val="none" w:sz="0" w:space="0" w:color="auto"/>
      </w:divBdr>
      <w:divsChild>
        <w:div w:id="577986566">
          <w:marLeft w:val="706"/>
          <w:marRight w:val="0"/>
          <w:marTop w:val="0"/>
          <w:marBottom w:val="0"/>
          <w:divBdr>
            <w:top w:val="none" w:sz="0" w:space="0" w:color="auto"/>
            <w:left w:val="none" w:sz="0" w:space="0" w:color="auto"/>
            <w:bottom w:val="none" w:sz="0" w:space="0" w:color="auto"/>
            <w:right w:val="none" w:sz="0" w:space="0" w:color="auto"/>
          </w:divBdr>
        </w:div>
        <w:div w:id="2074043975">
          <w:marLeft w:val="1022"/>
          <w:marRight w:val="0"/>
          <w:marTop w:val="65"/>
          <w:marBottom w:val="0"/>
          <w:divBdr>
            <w:top w:val="none" w:sz="0" w:space="0" w:color="auto"/>
            <w:left w:val="none" w:sz="0" w:space="0" w:color="auto"/>
            <w:bottom w:val="none" w:sz="0" w:space="0" w:color="auto"/>
            <w:right w:val="none" w:sz="0" w:space="0" w:color="auto"/>
          </w:divBdr>
        </w:div>
        <w:div w:id="85006797">
          <w:marLeft w:val="1022"/>
          <w:marRight w:val="0"/>
          <w:marTop w:val="65"/>
          <w:marBottom w:val="0"/>
          <w:divBdr>
            <w:top w:val="none" w:sz="0" w:space="0" w:color="auto"/>
            <w:left w:val="none" w:sz="0" w:space="0" w:color="auto"/>
            <w:bottom w:val="none" w:sz="0" w:space="0" w:color="auto"/>
            <w:right w:val="none" w:sz="0" w:space="0" w:color="auto"/>
          </w:divBdr>
        </w:div>
        <w:div w:id="1701782870">
          <w:marLeft w:val="619"/>
          <w:marRight w:val="0"/>
          <w:marTop w:val="80"/>
          <w:marBottom w:val="0"/>
          <w:divBdr>
            <w:top w:val="none" w:sz="0" w:space="0" w:color="auto"/>
            <w:left w:val="none" w:sz="0" w:space="0" w:color="auto"/>
            <w:bottom w:val="none" w:sz="0" w:space="0" w:color="auto"/>
            <w:right w:val="none" w:sz="0" w:space="0" w:color="auto"/>
          </w:divBdr>
        </w:div>
        <w:div w:id="1954903266">
          <w:marLeft w:val="1022"/>
          <w:marRight w:val="0"/>
          <w:marTop w:val="65"/>
          <w:marBottom w:val="0"/>
          <w:divBdr>
            <w:top w:val="none" w:sz="0" w:space="0" w:color="auto"/>
            <w:left w:val="none" w:sz="0" w:space="0" w:color="auto"/>
            <w:bottom w:val="none" w:sz="0" w:space="0" w:color="auto"/>
            <w:right w:val="none" w:sz="0" w:space="0" w:color="auto"/>
          </w:divBdr>
        </w:div>
        <w:div w:id="1154837330">
          <w:marLeft w:val="1022"/>
          <w:marRight w:val="0"/>
          <w:marTop w:val="65"/>
          <w:marBottom w:val="0"/>
          <w:divBdr>
            <w:top w:val="none" w:sz="0" w:space="0" w:color="auto"/>
            <w:left w:val="none" w:sz="0" w:space="0" w:color="auto"/>
            <w:bottom w:val="none" w:sz="0" w:space="0" w:color="auto"/>
            <w:right w:val="none" w:sz="0" w:space="0" w:color="auto"/>
          </w:divBdr>
        </w:div>
      </w:divsChild>
    </w:div>
    <w:div w:id="1461342876">
      <w:bodyDiv w:val="1"/>
      <w:marLeft w:val="0"/>
      <w:marRight w:val="0"/>
      <w:marTop w:val="0"/>
      <w:marBottom w:val="0"/>
      <w:divBdr>
        <w:top w:val="none" w:sz="0" w:space="0" w:color="auto"/>
        <w:left w:val="none" w:sz="0" w:space="0" w:color="auto"/>
        <w:bottom w:val="none" w:sz="0" w:space="0" w:color="auto"/>
        <w:right w:val="none" w:sz="0" w:space="0" w:color="auto"/>
      </w:divBdr>
    </w:div>
    <w:div w:id="21380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18E35-937C-4EEC-B8A6-D4D6A7D3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Rizwan-ul-Haq</dc:creator>
  <cp:keywords/>
  <dc:description/>
  <cp:lastModifiedBy>Qurat-Ul-Ain Sultan</cp:lastModifiedBy>
  <cp:revision>3</cp:revision>
  <cp:lastPrinted>2020-02-19T09:05:00Z</cp:lastPrinted>
  <dcterms:created xsi:type="dcterms:W3CDTF">2024-07-10T11:36:00Z</dcterms:created>
  <dcterms:modified xsi:type="dcterms:W3CDTF">2024-07-10T11:36:00Z</dcterms:modified>
</cp:coreProperties>
</file>